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результатам проведенного исследования установлено, что общая стоимость строительства коровника, расположенного в хозяйстве ИП главы КФХ ФИО1 по адресу: &lt;...&gt;, составила 9 625 799 (девять миллионов шестьсот двадцать пять тысяч семьсот девяносто девять) рублей, из которых 7 985 222 (семь миллионов девятьсот восемьдесят пять тысяч двести двадцать два) рубле, составила стоимость работ выполненных ООО «Строй Гарант Комплект» в рамках договора строительного подряда № 08219РШ00642190198/01-07-19 от 01.07.2019 г., заключенного между ИП глава крестьянского (фермерского) хозяйства ФИО1 и ООО «Строй Гарант Комплект», а 1 640 577 (один миллион шестьсот сорок тысяч пятьсот семьдесят семь) рублей, составила стоимость фактически выполненных работ ИП глава крестьянского (фермерского) хозяйства ФИО1, по устранению недостатков работ ООО «Строй Гарант Комплект».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результату выполненного исследования по данному вопросу экспертом установлено, что: -утепление ростверка и его наращивание, ремонт пола, а также устройство подшивки потолка досками с пароизоляцией - относятся к работам, выполнение которых потребовалось для устранения недостатков, выполненных Подрядчиком (ООО Строй Гарант Комплекс) работ по строительству здания коровника. При этом, как для ремонта пола, так и для утепления ростверка, требовался цемент. Именно цемент можно отнести к повторной закупке аналогичных материалов; -установка оконных блоков, облицовка оконных откосов и стыков сэндвич-панелей (фасадная стена и оконные проемы в блоки приемки молока) - относятся к работам фактически не выполненным Подрядчиком (ООО Строй Гарант Комплекс) при строительстве здания коровника, в то время, как их выполнение предусматривалось договором. Не согласившись с результатами экспертизы, ответчик представил в материалы дела заключение специалиста АНО «Межрегиональный центр судебной экспертизы и научного анализа» № 24-08-066-Ц-СЭ-Р от 21.08.2024г. на заключение эксперта № 40с-24 от 18.03.2024г. Согласно заключению специалиста АНО «Межрегиональный центр судебной экспертизы и научного анализа» № 24-08-066-Ц-СЭ-Р от 21.08.2024г., заключение эксперта не соответствует нормам АПК РФ, ФЗ от 31.05.2001г. № 73 «О государственной судебно-экспертной деятельности в РФ», а также иным нормам, регулирующим проведение судебной экспертиз, кроме того, содержит неверные коэффициенты, которые были использованы экспертом для расчета фактической стоимости выполненных работ. С учетом результатов проведенной экспертизы, ответов эксперта, а также выводов рецензий, ответчик заявил ходатайство о назначении повторной экспертизы. Определением суда от 19.12.2024г. была назначена повторная судебная экспертиза. Суд посчитал возможным поручить проведение повторной экспертизы ООО «Экспертное бюро № 1», эксперту ФИО7. Перед экспертом были поставлены следующие вопросы: «1. Какова фактическая стоимость строительства коровника, расположенного в хозяйстве ИП главы КФХ ФИО1 по адресу: &lt;...&gt;? (стоимость работ по Договору строительного подряда № 08219PJB000642190198/01-07-19 от 01.07.2019г., исходя из условий Договора и стоимость работ фактически выполненных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является ли какая-либо часть работ, выполненных лично ФИО1, работами по устранению недостатков, выполненных Подрядчиком (ООО Строй Гарант Комплекс) работ по строительству здания коровника (имело ли место повторное выполнение одних и тех же видов работ (повторная закупка аналогичных материалов))?». По результатам проведенного исследования эксперт в заключении № 25-01-079-Э- СЭ-С от 07.11.2025г. пришел к выводам о том, что: По вопросу 1: «Фактическая стоимость строительства коровника, расположенного в хозяйстве ИП главы КФХ ФИО1 по адресу: &lt;...&gt; (работ, выполненных в рамках Договору строительного подряда № 08219PJB000642190198/01-07-19 от 01.07.2019г. исходя из его условий, и работ выполненных ФИО1) составляет - 10 372 442 рублей. При ответе на вопрос № 1 эксперт обратил внимание на то, что в проекте и в Акте по форме КС-2 № 08219Р.) В000642190198/1 от 06.08.2019г. о приемке выполненных работ объем песка на устройство подстилающих и выравнивающих слоев оснований из песка составляет 1600 м.куб, что превышает фактический объем песка, который составляет - 71,4 м.куб. В этом же Акте по форме КС-2 объем щебня на устройство подстилающих слоев щебеночных составляет 160 м.куб, что превышает фактический объем щебня, который составляет - 30,6 м.куб. В Акте по форме КС-2 № 0821914В000642190198/2 от 02.10.2019г. о приемке выполненных работ монтаж колонн одноэтажных в объеме - 12,008 т, по фактическим замерам объём монтажа металлических колонн 1,744 т, что также значительно меньше объемов подсчитанных в Актах по форме КС-2. Указанные заложенные объемы являются необоснованными и несоразмерными архитектурным решениям. По обнаруженным превышениям заложенных в проектно-сметной стоимости материалов составлен локальный сметный расчет, стоимость завышенных объемов составляет - 3 202 021 рублей, (см. Приложение В.) С учетом завышенных объемов в проектно-сметной документации стоимость строительства здания коровника в с.Знаменка Никифоровского района, составленная из фактической его стоимости (10 372 442 рублей) и стоимости завышенных объемов (3 202 021 рублей) составляет 13 574 463 рублей.». По вопросу 2: «В процессе проведения исследования установлено, что лично ФИО1 выполнены следующие работы: - работы по увеличению ростверка, ремонту бетонных полов, устройство подшивки потолка и дощатого настила пола досками, пристройка навеса для навозоудаления являются работами по устранению недостатков, выполненных Подрядчиком (ООО «Строй Гарант Комплект») по строительству здания коровника. Работы, учтенные в Локальном сметном расчете (приложение № 1 к договору строительного подряда № 08219PJB000642190198/01-07-19 от 01.07.2019г) - установка оконных блоков и наличников (поз. 34, 35, 37), установка нащельпиков и деталей обрамления (поз.24), устройство помещения навозоудаления (Проект раздел 3. Лист АР-4) Подрядчиком (ООО «Строй Гарант Комплект») по факту не были выполнены. Все работы, выполненные лично ФИО1, являются работами по устранению недостатков, выполненных Подрядчиком (ООО «Строй Гарант Комплект») при строительстве здания коровника, определены сметным расчетом и составляет 3 660 005 рублей. При выполнении вышеперечисленных работ имело место частично повторное выполнение одних и тех же работ и повторная закупка аналогичных материалов. На приобретение материалов для устранения недостатков лично ФИО1 по предоставленным платежным документам было затрачено 5 484 182 рубля. В большей части платежных документов нет расшифровки, какие именно строительные материалы были приобретены, за исключением пиломатериалов, дверей, окон, электрооборудования и цемента. По договору строительного подряда № 08219PJB000642190198/01-07-19 от 01.07.2019г ООО «Строй Гарант Комплект» было перечислено на основании Актов о приемке выполненных работ по форме КС-2 - 8 622 000 рублей. Настоящая обобщающая часть подготовлена с учетом всех принятых ограничений и допущений и не может трактоваться иначе, чем в связи с полным текстом Заключения эксперта». В соответствии со ст.8 Федерального закона от 31.05.2001г. № 73-ФЗ «О государственной судебно-экспертной деятельности в Российской Федерации», эксперт проводит исследования объективно, на строго научной и практической основе, в пределах соответствующей специальности, всесторонне и в полном объеме. Заключение эксперта должно основываться на положениях, дающих возможность проверить обоснованность и достоверность сделанных выводов на базе общепринятых научных и практических данных. В силу статьи 64 Арбитражного процессуального кодекса Российской Федерации заключение эксперта относится к числу доказательств по делу, которое подлежит оценке судом в соответствии со статьей 71 Арбитражного процессуального кодекса Российской Федерации в совокупности с другими доказательствами по делу. При этом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Экспертное заключение ООО «Экспертное бюро № 1» по делу № А64-3441/2022 не вызывает сомнений в правильности и объективности содержащихся в нем выводов, соответствует требованиям Федерального закона от 31.05.2001 г. № 73-ФЗ «О государственной судебно-экспертной деятельности в Российской Федерации». Достаточных доказательств, опровергающих выводы эксперта или ставящие их под сомнение, суду не представлено. Исследовав экспертные заключения № 25-01-079-Э-СЭ-С от 07.11.2025г. суд принимает его в качестве доказательства по делу. Согласно заключению № 25-01-079-Э-СЭ-С от 07.11.2025г. стоимость фактически выполненных работ в рамках договора строительного подряда № 08219PJB000642190198/01-07-19 от 01.07.2019г, заключенного между ИП главой КФХ ФИО1 и ООО «Строй Гарант Комплекс», составила 6712437 руб. В соответствии с платежными поручениям ООО «Строй Гарант Комплекс» перечислены денежные средства в сумме 8 322 000 руб., а стоимость фактически выполненных работ составляет 6 712 437 руб., таким образом, расходование гранта на сумму 1 609 563 рубля имеет нецелевой характер. Согласно заключению № 25-01-079-Э-СЭ-С от 07.11.2025г. стоимость фактически выполненных работ ИП главой КФХ ФИО1 по устранению недостатков работ выполненных ООО «Строй Гарант Комплекс» составила 3 660 005 рублей. Однако, как пояснил истец, в стоимость фактически выполненных работ включены работы, которые не являются софинансированием, так как они не заявлены в сметном расчете к договору строительного подряда от 01.07.2019 № 08219PJB000642190198/01-07-19 и, соответственно, данные виды работ не заявлялись ИП главой КФХ ФИО1 при конкурсном отборе. Таким образом, в целях софинансирования не должны учитываться следующие работы: -монтаж кровельного покрытия из профилированного листа при высоте здания до 25 м (сметным расчетом не предусмотрено); -дополнительные элементы металлочерепичной кровли: конек для кровли оцинкованный, размером 200x200 мм, длиной 2000 мм (сметный расчетом не предусмотрено); -подшивка потолков досками обшивки (сметным расчетом не предусмотрено); -устройство дощатого покрытия пола в стойлах для содержания животных (сметным расчетом не предусмотрено); -прокладка трубопроводов отопления и водоснабжения; из стальных электросварных труб диаметром 65 мм (сметным расчетом не предусмотрено); -изготовка и установка ограждения боксов из стальных труб для содержания крупного рогатого скота (сметным расчетом не предусмотрено); -устройство отмостки (сметным расчетом не предусмотрен); -дверь пвх 1,7 м2 (сметным расчетом не предусмотрено); -облицовка оконных проемов в наружных стенах откосной планкой 29,43 м2 (сметным расчетом не предусмотрено); -фасонный элемент, нащельник 0,33288т (сметным расчетом не предусмотрено); -полы бетонные 921,0 м2 (по сметному расчету 72 м2, согласно заключению № 2 - 993 м2); -полы бетонные 137,78 м2 (по сметному расчету 240 м2, согласно заключению № 2 - 377,78 м2) - ворота двухстворчатые утепленные 19,4 м2 (согласно смежному расчету 83,2 м2, согласно заключению № 2 - 103,2 м2). Из чего следует, что из локального сметного расчета являющего приложением к заключению № 25-01-079-Э-СЭ-С от 07.11.2025г. подлежат исключению следующие пункты при расчете стоимости софинансирования проекта: Из раздела 4: Стены -п. 28 монтаж каркасов одноэтажных производственных знаний одно- и многопролетных без фонарей пролетом до 24 м, высотой до 15 м без кранов - 0,641624 т; -п. 29 трубы стальные квадратные (ГОСТ 8639-82) размером 80x80 мм, толщина стенки 5 мм -16.2 м; -п. 30 - трубы стальные квадратные (ГОСТ 8639-82) размером 50x50 мм, толщина стенки 5 мм - 67.8 м. Из раздела 5: Кровля -п. 35 профнастил оцинкованный С21-100О-О,5 - 10,7664 м2; -п. 36 шурупы-саморезы кровельные оцинкованные 4,8x50 мм - 8 613,12 шт.; -п. 38 дополнительные элементы металлочерепичной кровли: конек для кровли: конек для кровли оцинкованный, размером 200x200 мм, длиной 2000 мм -35 шт. Из раздела 6: Проемы -п. 41 окно ПВХ 60мм 2970* 1170 мм открывное - 4 шт.; -п. 42 окно ПВХ 60мм 2970* 1170 мм глухое - 4 шт.; -л. 44 окно ПВХ 60мм 7О0*870 мм открывное - 2 шт.; -п. 45 облицовка оконных проемов в наружных стенах откосной планкой из оцинкованной стали с полимерным покрытием с устройством водоотлива оконного из оцинкованной стали с полимерным покрытием - 29,43 м2; -п. 46 установка ворот с коробками стальными, с раздвижными или распахивающимися неутепленными полотнами и калитками - 19,4 м2; -п. 47 ворота двухстворчатые утепленные - 19,4 м2. Раздел 7: Потолок -п. 50 подшивка потолков досками обшивки 1063,68 м2; -п. 50 обшивка наружная и внутренняя из древесины тип 0-1; 0-2; 0-3 толщиной 16 мм, шириной без гребня от 70 до 90 мм - 19,784448 м3; -п. 51 доски необразные хвойных пород длиной 4-6,5 м, все ширины, толщиной 32-40мм, II сорта - 36,69 м3. Из раздела 8: Полы -п. 52 устройство полов бетонных толщиной 100 мм - 921 м3; -п. 53 устройство полов бетонных толщиной 150 мм - 137,78 м3; Раздел 9: Водопровод Раздел 10: Ограждения из металлических труб -п. 59 изготовление и установка ограждения боксов из стальных труб для содержания крупного рогатого скота - 1,36578 т; -п. 60 трубы стальные сварные водогазопроводные с резьбой черные обыкновенные (неоцинкованные), диаметр условного прохода 65 мм, толщина стенки 4 мм - 156 м. Из изложенного следует, что ответчиком нарушены пункт 1.5.9 Правил и пункт 4.3.10 Соглашения, согласно которым ответчик обязан обеспечить софинансирование в размере не менее 40% стоимости каждого наименования плана расходов. Кроме того в заключении № 25-01-079-Э-СЭ-С от 07.11.2025г. указано, что общая стоимость строительства здания коровника, расположенного в хозяйстве ИП главы КФХ ФИО1 по адресу: &lt;...&gt;, составила 10 372 442 рубля (с учетом расходов не относящимся к проекту), что также является нарушением условий Соглашения. Согласно плану расходов (с учетом дополнительных соглашений от 21.01.2020, от 27.03.2020, от 07.08.2020, от 08.12.2020) стоимость строительства здания коровника составляет 13 870 000 рублей. Таким образом, экспертизой подтверждается, что ответчиком не выполнена обязанность по обеспечению софинансирования стоимости каждого наименования плана расходов в размере, предусмотренном условиями Соглашения (40%). Ответчик, заявляя о выполнении работ по устранению недостатков, выполнении строительных работ после расторжения договора с подрядчиком за счет собственных средств и собственными силами, в соответствии с п. 1.4.5 Правил обязан был представить перечень документов, подтверждающих выполнение работ и использование собственных денежных средств в размере 5 783 822 руб., для подтверждения несения расходов в объеме не менее 40% стоимости затрат на строительство коровника, однако, указанные документы, в нарушение ст. 65 АПК РФ представлены не были. Фактически часть работ при строительстве здания коровника была выполнена дважды. Первый раз подрядчиком (некачественно), второй раз – ответчиком. При этом ответчик считает, что устранение недостатков работ, выполненных подрядчиком, будет являться также софинансированием. Однако, в данном случае, учет стоимости данных работ производится дважды: как оплата денежными средствами гранта и как денежные средства в виде софинансирования. Также необходимо отметить, что ответчик за все время судебного разбирательства (и до подачи Управлением иска в суд) не предпринял каких-либо мер, направленных на обязание подрядчика устранить недостатки в выполненных работах и на взыскание понесенных убытков. Кроме того, в соответствии с пунктом 6 Перечня документов, подтверждающих целевое использование гранта, а также собственных средств, достаточных для обеспечения уровня софинансирования, установленного приложением № 6 к Соглашению, при проведении строительства семейной животноводческой фермы подрядным способом ответчик должен был представить в Управление, в том числе, разрешение на ввод завершенного строительством объекта в эксплуатацию и документ, подтверждающий государственную регистрацию права собственности на завершенный строительством объект. При этом, учитывая сроки, установленные планом расходов, указанные документы должны быть датированы не позднее июля 2021 года. Однако в Управление, и в последующем в материалы дела, ответчиком не были представлены документы, подтверждающие ввод здания коровника в эксплуатацию и государственную регистрацию права собственности на него. Данный факт подтверждается также результатами совместного осмотра хозяйства ответчика, которыми было установлено, что по состоянию на 27.09.2022 готовность здания коровника для ввода в эксплуатацию составляет около 95%. При этом, ответчик согласился с данным фактом, что подтверждается его подписью на акте осмотра и отсутствием с его стороны возражений при подписании акта. Однако, несмотря на фактическую готовность объекта в 2022г., объект по состоянию на декабрь 2025г. в эксплуатацию не введен. Кроме того, Министерство сельского хозяйства Тамбовской области пояснило, что в Арбитражном суде Тамбовской области в настоящее время рассматривается дело № А64-3872/2025 по иску ИП главы крестьянского (фермерского) хозяйства ФИО1 о признании права собственности на здание площадью 876,36 кв.м., расположенное по адресу: Тамбовская область, Никифоровский район, с. Знаменка. В рамках указанного имеются пояснения Министерства сельского хозяйства Тамбовской области, из которых следует, что здание коровника находится в водоохраной зоне, при этом истцом не представлено доказательств соблюдения п.4 и пп. 3, 4, 5 ст.16 ВК РФ. Кроме того, истец пояснил, что Постановлением администрации Никифоровского муниципального округа Тамбовской области № 1559 от 18.10.2024 года ответчику было отказано в выдаче разрешения на ввод объекта в эксплуатацию, в связи с несоответствием параметров построенного объекта капитального строительства проектной документации, утвержденной заказчиком. Фактически правомерность возведения здания коровника и его соответствие действующим строительным нормам на данный момент не подтверждены соответствующими доказательствами. ФИО1 до настоящего времени не получено разрешение на строительство спорного здания. Ответчик в свою очередь пояснил, что на момент начала строительства не располагал сведениями о том, что спорный земельный участок частично располагается в водоохраной зоне. Суд относится критически к данному доводу ответчика, поскольку сроки строительства здания коровника по договору строительного подряда № 08219РЛВ0006-421990198/01-07/19 от 01.07.2019г., с августа 2019г. по декабрь 2019г., при этом, Градостроительный план земельного участка № ГС. 1168511000-07-2020 подготовлен 27.02.2020 года и проект на строительство здания коровника также разработан ООО «Строй Гарант Комплект» в 2020 году. Акты по форме КС-2 № 08219РJВ000642190198/1 от 06.08.2019г. и № 08219РJВ000642190198/2 от 02.10.2019г. составлены до 2020 года и произведена оплата по Справке КС-3, фактически до разработки и согласования проектной и разрешительной документации, что является нарушением Градостроительного кодекса РФ и фактически строительство здания велось без проектной и разрешительной документации. В случае, если бы строительство здания коровника начало осуществляться ответчиком после разработки и согласования проектной и разрешительной документации, ответчику было бы известно о том, что спорный земельный участок частично располагается в водоохраной зоне, поскольку в приложении № 1 к Градостроительному плану земельного участка № ГС. 1168511000-07-2020, подготовленном 27.02.2020 года на основании заявления ФИО1 была отмечена водоохранная зона реки Польной Воронеж. Кроме того, ответчик, при заключении Договора на строительство объекта должен был предвидеть возможные риски, влекущие для него правовые последствия выполнения подрядчиком работ в отсутствие проектной и разрешительной документации. Таким образом, ответчиком до настоящего времени не получено разрешение на строительство спорного здания (срок полученного разрешения истек), отсутствует разрешение на ввод объекта в эксплуатацию, право собственности на здание не зарегистрировано, софинансирование в необходимом объеме не подтверждено, ответчиком допущено нецелевое расходование денежных средств гранта, так как согласно проекту денежные средства выделялись на строительство здания коровника. Ответчик считает, что основной целью предоставления гранта является развитие сельского хозяйства, и правовая природа договорного обязательства о гранте заключается именно в безвозмездной передаче грантодателем денежных средств грантополучателю для направления их на общеполезные социально значимые цели. По мнению ФИО1 цель выделения гранта достигнута – здание коровника построено и функционирует. Однако, субсидия была выдела ФИО1 исключительно при условии соблюдения всех положений заключенного сторонами Соглашения. Ответчик посчитал возможным использовать государственные денежные средства, полученные безвозмездно, на строительство здания в отсутствие необходимой разрешительной документации, предусмотренной нормами действующего законодательства (срок действия разрешения на строительство истек 11.08.2020г.; Постановлением администрации № 1559 от 18.10.2024г. отказано в выдаче разрешения на ввод объекта в эксплуатацию, в связи с несоответствием объекта проектной документации). Кроме того, ответчик почитал возможным не исполнять условие Соглашения о необходимом софинансировании в размере 40 %, что является существенным нарушением условий Соглашения. Согласно пункту 3 статьи 1 ГК РФ ,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 Согласно п.1 Постановления Пленума Верховного Суда РФ от 23.06.2015 N 25 «О применении судами некоторых положений раздела I части первой Гражданского кодекса Российской Федерации», 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 от добросовестного поведения. Если будет установлено недобросовестное поведение одной из сторон, суд в зависимости от обстоятельств дела и с учетом характера и последствий такого поведения отказывает в защите принадлежащего ей права полностью или частично (п.1 Постановления Пленума Верховного Суда РФ от 23.06.2015 N 25 «О применении судами некоторых положений раздела I части первой Гражданского кодекса Российской Федерации»). Следует отметить, что все условия, указанные в Соглашении являются существенными, следовательно, нарушение хотя бы одного из условий Соглашения предполагает возврат средств гранта в полном объеме. Ответчик, заключив Соглашение, подтвердил, что принимает все условия Соглашения, и обязуется выполнять возложенные на него обязательства в полном объеме. Также необходимо отметить, что в настоящий момент Соглашение расторгнуто управлением в одностороннем порядке. Ответчиком не заявлены встречные требования о признании решения управления о расторжении Соглашения недействительным (незаконным). Кроме того, следует обратить внимание на то, что в своем отзыве ответчик в обоснование невыполнения им условий Соглашения также приводит довод о недобросовестности подрядчика - общества с ограниченной ответственностью «Строй Гарант Комплекс», осуществлявшего строительство здания коровника, а именно несвоевременное выполнение комплекса строительных работ и нарушение условий договора строительного подряда. Однако доказательств, подтверждающих данный довод, в материалы дела ответчиком не представлено. В последующем, ответчик представил документы по приобретению строительных материалов, ссылаясь на них в качестве подтверждения обеспечения уровня софинансирования строительства здания коровника. Однако, по результатам проведенных экспертиз невозможно установить, какие именно материалы закуплены ФИО1 и какие работы выполнены, поскольку из представленных документов определить принадлежность приобретаемых ответчиком строительных материалов для строительства именно здания коровника, предусмотренного одной из статей плана расходов, не представляется возможным, равно как, и определить объем и характер строительных работ, произведенных именно ответчиком. Вышеизложенное свидетельствует о нарушении ответчиком условий Соглашения и условий предоставления гранта, что согласно пункту 3.1 статьи 78 Бюджетного кодекса Российской Федерации влечет возврат средств гранта в полном объеме. Ответчик доказательств, возврата денежных средств в сумме 13632000 руб. в материалы дела не представил, в связи с чем, требование истца о взыскании указанной суммы подлежит удовлетворению в полном объеме. Кроме того, истец просит взыскать проценты за пользование чужими денежными средствами в размере 4 472 486,88 руб., из которых: 4 069 963,03 руб. – в доход федерального бюджета, 402 523,85 руб. – в доход бюджета Тамбовской области. ФИО6 25 ГК РФ предусмотрено, что взыскание процентов за пользование чужими денежными средствами является мерой гражданско-правовой ответственности за нарушение обязательства. Согласно п. 1 ст. 395 ГК РФ ,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По смыслу п. 3 ст. 395 ГК РФ ,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Согласно пункту 50 Постановления Пленума Верховного суда РФ № 6, Пленума ВАС РФ № 8 от 01.07.1996 «О некоторых вопросах связанных с применением части первой Гражданского кодекса Российской Федерации» проценты, предусмотренные п. 1 ст. 395, подлежат уплате независимо от того, получены ли чужие денежные средства в соответствии с договором либо при отсутствии договорных отношений. Уплата процентов за пользование чужими денежными средствами по смыслу ст. 395 ГК РФ является ответственностью за нарушение денежного обязательства, которая применяется с учетом положений ст. 401 ГК РФ . В силу ч. 3 ст. 401 ГК РФ ,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Согласно расчету истца, сумма процентов за пользование чужими денежными средствами по состоянию на 19.12.2025г. составила 4 472 486,88 руб., из которых: 4 069 963,03 руб. – в доход федерального бюджета, 402 523,85 руб. – в доход бюджета Тамбовской области. Ответчик сумму начисленных процентов за пользование чужими денежными средствами не оспорил, доказательства её погашения и контррасчёт не представил. Проверив расчёт истца, суд пришел к выводу, что расчет произведен арифметически верно. Кроме того, истцом заявлено требование о взыскании с ответчика процентов за пользование чужими денежными средствами за период с 20.12.2025г. по день фактического исполнения обязательства.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В соответствии с пунктом 48 Постановления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сумма процентов, подлежащих взысканию по правилам статьи 395 ГК РФ ,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(пункт 3 статьи 395 ГК РФ ). При этом день фактического исполнения обязательства, в частности уплаты задолженности кредитору, включается в период расчета процентов. Расчет процентов, начисляемых после вынесения решения, осуществляется в процессе его исполнения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Таким образом, суд пришел к выводу о том, что требование о взыскании процентов за пользование чужими денежными средствами, начисленных на сумму основного долга – 13632000 руб. за период с 20.12.2025г. по день фактического исполнения обязательства в соответствии с действующей ставкой рефинансирования ЦБ РФ является обоснованным и подлежит удовлетворению. Статьей 9 АПК РФ закреплено, что лица, участвующие в деле, несут риск наступления последствий совершения или не совершения ими процессуальных действий. Из норм ст. 65 АПК РФ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 ч.ч. 1, 2 ст.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Представленные по делу и исследованные судом доказательства и обстоятельства по спору сторон согласно заявленным основаниям, предмету иска, суд находит достаточными для разрешения спора по существу. Учитывая изложенное, суд считает уточненные исковые требования обоснованными и подлежащими удовлетворению в полном объеме. В соответствии со статьей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основании своих требований и возражений. Согласно статье 66 Арбитражного процессуального кодекса Российской Федерации доказательства представляются лицами, участвующими в деле. Исходя из принципа состязательности сторон, закрепленного в статье 9 названного Кодекса, а также положений статей 65 , 66 Арбитражного процессуального кодекса Российской Федерации, лицо, не реализовавшее свои процессуальные права на представление доказательств, несет риск неблагоприятных последствий не совершения им соответствующих процессуальных действий. Согласно части 1 статьи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 2 статьи 71 Арбитражного процессуального кодекса Российской Федерации). Суд, исследовав и оценив представленные доказательства, считает исковые требования подлежащими удовлетворению в полном объеме. В соответствии со статьями 102 , 110 , 112 Арбитражного процессуального кодекса Российской Федерации расходы по оплате государственной пошлины следует отнести на ответчика.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Руководствуясь ст.ст. 102 , 110 , 112 , 167 - 170 АПК РФ , Арбитражный суд Р Е Ш И Л: Взыскать с Индивидуального предпринимателя главы крестьянского (фермерского) хозяйства ФИО1 (ОГРНИП: &lt;***&gt;, ИНН: &lt;***&gt;) в пользу Министерства сельского хозяйства Тамбовской области (ОГРН: &lt;***&gt;, ИНН: &lt;***&gt;) средства гранта в размере 13632000 руб., из которых: 12405120 руб. - средства федерального бюджета и 1226880 руб. – средства бюджета области, проценты за пользование чужими денежными средствами по состоянию на 19.12.2025г. в размере 4 472 486,88 руб., из которых: 4 069 963,03 руб. – в доход федерального бюджета, 402 523,85 руб. – в доход бюджета Тамбовской области, всего – 18 104 486,88 руб.; проценты за период с 20.12.2025г. по день фактического исполнения обязательства. 2.По заявлению истца выдать исполнительный лист после вступления решения суда в законную силу. 3.Взыскать с Индивидуального предпринимателя главы крестьянского (фермерского) хозяйства ФИО1 (ОГРНИП: &lt;***&gt;, ИНН: &lt;***&gt;) в доход федерального бюджета госпошлину в сумме 113 522 руб. 4.Налоговому органу выдать исполнительный лист после вступления решения суда в законную силу. Решение арбитражного суда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течение месяца после его принятия в Девятнадцатый арбитражный апелляционный суд через Арбитражный суд Тамбовской области. Судья Е.А. Хорошун Суд: АС Тамбовской области (подробнее) Истцы: Управление сельского хозяйства Тамбовской области (подробнее) Ответчики: ИП глава КФХ Праслов Сергей Алексеевич (подробнее) Судьи дела: Хорошун Е.А.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