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акту № 3926 от 31.07.2024 г. срок оплаты услуг приходится на 15.08.2024 г., ввиду чего расчет неустойки правомерно производить с 16.08.2024 г. По расчету суда размер неустойки по указанному акту составляет 136,80 руб. (6000 × 0,01% × 228).</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акту № 4081 от 31.08.2024 г. срок оплаты услуг приходится на нерабочий день 15.09.2024 г., с учетом положений статей 191 , 193 ГК РФ последним днем для оплаты услуг является 16.09.2024 г., ввиду чего расчет неустойки правомерно производить с 17.09.2024 г. По расчету суда размер неустойки по указанному акту составляет 117,60 руб. (6000 × 0,01% × 196).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акту № 4234 от 30.09.2024 г. срок оплаты услуг приходится на 15.10.2024 г., ввиду чего расчет неустойки правомерно производить с 16.10.2024 г. По расчету суда размер неустойки по указанному акту составляет 100,20 руб. (6000 × 0,01% × 167).</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акту № 4444 от 31.10.2024 г. срок оплаты услуг приходится на 15.11.2024 г., ввиду чего расчет неустойки правомерно производить с 16.11.2024 г. По расчету суда размер неустойки по указанному акту составляет 81,60 руб. (6000 × 0,01% × 136).</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акту № 4644 от 30.11.2024 г. срок оплаты услуг приходится на нерабочий день 15.12.2024 г., с учетом положений статей 191 , 193 ГК РФ последним днем для оплаты услуг является 16.12.2024 г., ввиду чего расчет неустойки правомерно производить с 17.12.2024 г. По расчету суда размер неустойки по указанному акту составляет 63 руб. (6000 × 0,01% × 105).</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акту № 4650 от 31.12.2024 г. срок оплаты услуг приходится на 15.01.2025 г., ввиду чего расчет неустойки правомерно производить с 16.01.2025 г. По расчету суда размер неустойки по указанному акту составляет 45 руб. (6000 × 0,01% × 75).</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акту 64 от 31.01.2025 г. срок оплаты услуг приходится на нерабочий день 15.02.2025 г., с учетом положений статей 191 , 193 ГК РФ последним днем для оплаты услуг является 17.02.2025 г., ввиду чего расчет неустойки правомерно производить с 18.02.2025 г. По расчету суда размер неустойки по указанному акту составляет 25,20 руб. (6000 × 0,01% × 42). Всего по расчету суда размер неустойки за нарушение срока оплаты услуг составляет 569,40 руб. Таким образом, требование о взыскании неустойки подлежит удовлетворению за период с 16.08.2024 г. по 31.03.2025 г. в размере 569,40 руб. В удовлетворении остальной части требования отказано. Также истцом заявлено о взыскании неустойки по день фактического исполнения обязательств. Из разъяснений, содержащихся в пункте 65 Постановления Пленума № 7, следует, что по смыслу статьи 330 ГК РФ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Поскольку доказательств оплаты задолженности в полном объеме в материалы дела не представлено, требование истца о взыскании неустойки по день фактической уплаты задолженности подлежит удовлетворению, начиная с 01.04.2025 г. В соответствии с частью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Истцом при подаче иска платежным поручением № 3578 от 19.05.2025 г. уплачена государственная пошлина в размере 10000 руб. В соответствии со статьей 110 АПК РФ расходы по оплате государственной пошлины следует возложить на ответчика пропорционально размеру удовлетворенных исковых требований (удовлетворено 94,09%). Руководствуясь статьями 65 , 70 , 110 , 137 , 156 , 167 - 171 Арбитражного процессуального кодекса Российской Федерации, суд РЕШИЛ: Подготовку дела к судебному разбирательству окончить. Завершить предварительное судебное заседание и открыть судебное заседание в первой инстанции. Взыскать с ООО «СТРОЙФИНАНСГРУП», г. Краснодар (ИНН: &lt;***&gt;) в пользу ООО «Кублифт», г. Краснодар (ИНН: &lt;***&gt;) задолженность в размере 42000 руб., неустойку за период с 16.08.2024 г. по 31.03.2025 г. в размере 569,40 руб., неустойку с 01.04.2025 г. по день фактического исполнения обязательств из расчета неустойки в размере 0,01% от суммы 42000 руб. за каждый день просрочки, а также расходы по уплате государственной пошлины в размере 9409 руб. В удовлетворении остальной части иска – отказать.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апелляционном порядке в Пятнадцатый арбитражный апелляционный суд в течение месяца с даты принятия решения, а также в кассационном порядке в Арбитражный суд Северо-Кавказского округа в течение двух месяцев с даты вступления решения по делу в законную силу через суд, вынесший решение. Судья В.С. Чуриков Суд: АС Краснодарского края (подробнее) Истцы: ООО "Кублифт" (подробнее) Ответчики: ООО "Стройфинансгруп" (подробнее) Судьи дела: Чуриков В.С. (судья) (подробнее) Последние документы по делу: Резолютивная часть решения от 19 октября 2025 г. по делу № А32-34465/2025 Решение от 20 января 2026 г. по делу № А32-34465/2025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