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января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Исковые требования с учетом принятых уточнений удовлетворить частично.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Взыскать с ИП ФИО2 в пользу ИП ФИО1 задолженность по договору аренды нежилого помещения от 01.09.2022 № 01/11/20-пав.5 в размере 212 200 руб., пени за несвоевременную оплату арендной платы за период с 08.11.2023 по 30.04.2025 в размере 70 615,03 руб., судебные расходы по оплате государственной пошлины в размере 26 202 руб. В удовлетворении остальных требований отказать.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Возвратить ИП ФИО1 из федерального бюджета излишне уплаченную госпошлину в размере 18 руб., уплаченную по платежному поручению № 229 от 05.05.2025.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соответствии с частью 1 статьи 259 Арбитражного процессуального кодекса Российской Федерации решение может быть обжаловано в Десятый арбитражный апелляционный суд в течение месяца после принятия арбитражным судом первой инстанции обжалуемого решения. Судья А.А. Звонарёв Суд: АС Московской области (подробнее) Судьи дела: Звонарев А.А. (судья) (подробнее) Судебная практика по: Уменьшение неустойки Судебная практика по применению нормы ст. 333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