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ООО «СЗ ИНВЕСТ ПРОЕКТ МСК» в пользу Администрации городского округа Щёлково Московской области задолженность в размере 16 598,12 руб. за период с 1 по 4 кв. 2024 года и пени в размере 3 317,93 руб. за период с 01.01.2024 по 31.12.2024 по договору аренды земельного участка от 20.04.2023 № 16-2027/23.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ООО «СЗ ИНВЕСТ ПРОЕКТ МСК» в доход федерального бюджета госпошлину в размере 10 000 руб. за рассмотрение дела в арбитражном суде. 4 . Решение может быть обжаловано в Десятый арбитражный апелляционный суд в течение одного месяца со дня принятия. Судья А.А. Звонарёв Суд: АС Московской области (подробнее) Истцы: АДМИНИСТРАЦИЯ ГОРОДСКОГО ОКРУГА ЩЁЛКОВО МОСКОВСКОЙ ОБЛАСТИ (подробнее) Ответчики: ООО "СПЕЦИАЛИЗИРОВАННЫЙ ЗАСТРОЙЩИК "ИНВЕСТ ПРОЕКТ МСК" (подробнее) Судьи дела: Звонарев А.А.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