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«РВБ» (ИНН &lt;***&gt;, ОГРН &lt;***&gt;) в пользу ИНДИВИДУАЛЬНОГО ПРЕДПРИНИМАТЕЛЯ ФИО1 (ИНН &lt;***&gt;, ОГРНИП &lt;***&gt;) необоснованно удержанные денежные средства в размере 271 279 руб. 28 коп., проценты за пользование чужими денежными средствами, начисленные по правилам статьи 395 ГК РФ на сумму (271 279 руб. 28 коп.) за период с 27.10.2025 по день фактической уплаты долга, расходы на оплату услуг представителя в размере 40 000 руб., расходы по оплате государственной пошлины в размере 12 564 руб. Возвратить ИНДИВИДУАЛЬНОМУ ПРЕДПРИНИМАТЕЛЮ ФИО1 (ИНН &lt;***&gt;, ОГРНИП &lt;***&gt;) государственную пошлину в размере 7 000 руб., уплаченную платежным поручением № 27331 от 28.10.2025.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заявлению лица, участвующего в деле, по делу, рассматриваемому в порядке упрощенного производства, арбитражный суд составляет мотивированное решение. Заявление о составлении мотивированного решения может быть подано в течение пяти дней со дня размещения резолютивной части решения на официальном сайте арбитражного суда в информационно-телекоммуникационной сети «Интернет» http://kad.arbitr.ru/.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Мотивированное решение изготавливается в течение пяти дней со дня поступления от лица, участвующего в деле, соответствующего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вступает в законную силу по истечении пятнадцати дней со дня его принятия, если не подана апелляционная жалоба. В случае составления мотивированного решения арбитражного суда, такое решение вступает в законную силу по истечении срока, установленного для подачи апелляционной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решение может быть обжаловано в Десятый арбитражный апелляционный суд в срок, не превышающий пятнадцати дней со дня принятия, а в случае составления мотивированного решения - со дня принятия решения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Апелляционная жалоба подается через Арбитражный суд Московской области. Судья М.А. Худгарян Суд: АС Московской области (подробнее) Ответчики: ООО РВБ (подробнее) Судьи дела: Худгарян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