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пл. 19,2 кв.м.: -при измерительном контроле деревянного дверного блока было установлено, что его отклонение от вертикали составляет 4 мм на 1 метр, что превышает допустимое отклонение, которое составляет 1,5 мм на 1 метр, согласно п.7.7 СТО НОСТРОЙ 2.11.161-2014 Двери внутренние из древесных материалов. Требования к безопасности, эксплуатационным характеристикам. Правила производства работ по монтажу, контроль и требования к результатам работ; -при прикладывании двухметровой рейки к поверхности пола, было выявлено отклонение от плоскости составляющее 3 мм под двухметровой рейкой, на участке пл.2,0 кв.м. возле входа в помещение, что не соответствует требованиям таблицы 8.15 СП 71.13330.2017 «Изоляционные и отделочные покрытия. Актуализированная редакция СНиП 3.04.01-87 (с Изменением №1)»; -при обследовании оконного блока было установлено, что он состоит из трех частей (высота оконного блока 1450 мм, ширина 1750 мм), две из которых являются глухими (не открывающимися), что противоречит требованиям п.5.1.6 ГОСТ 23166-99. Межгосударственный стандарт. Блоки оконные. Общие технические условия.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Жилая комната пл.12,5 кв.м: -при прикладывании двухметровой рейки к поверхности пола, было выявлено отклонение от плоскости составляющее 3 мм под двухметровой рейкой, на участке пл.2,0 кв.м. возле входа в помещение, что не соответствует требованиям таблицы 8.15 СП 71.13330.2017 «Изоляционные и отделочные покрытия. Актуализированная редакция СНиП 3.04.01-87 (с Изменением N 1)»; -при измерительном контроле деревянного дверного блока было установлено, что его отклонение от вертикали составляет 3 мм на 1 метр, что превышает допустимое отклонение, которое составляет 1,5 мм на 1 метр, согласно п.7.7 СТО НОСТРОЙ 2.11.161-2014 Двери внутренние из древесных материалов. Требования к безопасности, эксплуатационным характеристикам. Правила производства работ по монтажу, контроль и требования к результатам работ; -при обследовании оконного блока было установлено, что он состоит из двух частей (высота оконного блока 1450 мм, ширина 1300 мм), одна из которых является глухой (не открывающейся), что противоречит требованиям п.5.1.6 ГОСТ 23166-99. Межгосударственный стандарт. Блоки оконные. Общие технические условия.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Кухня пл.10,0 кв.м.: -при прикладывании двухметровой рейки к поверхности пола, было выявлено отклонение от плоскости составляющее 5 мм под двухметровой рейкой, на участке пл.2,0 кв.м. возле входа в помещение, что не соответствует требованиям таблицы 8.15 СП 71.13330.2017 «Изоляционные и отделочные покрытия. Актуализированная редакция СНиП 3.04.01-87 (с Изменением №1)»; -при обследовании железобетонной поверхности стен, выявлено отклонение от вертикали на стене смежной с помещением туалета (участок стены пл.6,7 кв.м. (железобетонный объемный вентиляционный блок, не имеющий технологического уклона согласно проектной документации)), составляющее 14 мм на 1 метр под двухметровой рейкой (28 мм на 2 метра), что превышает допустимое отклонение, составляющее 10 мм от вертикали верха плоскостей объемных блоков, согласно требований п.6.1.7 Таблицы 6.1 СП 70.13330.2012 Несущие и ограждающие конструкции. Актуализированная редакция СНиП 3.03.01-87 (с Изменениями №1, 3); -при измерительном контроле деревянного дверного блока было установлено, что его отклонение от вертикали составляет 16 мм на 1 метр, что превышает допустимое отклонение, которое составляет 1,5 мм на 1 метр, согласно п.7.7 СТО НОСТРОЙ 2.11.161-2014 Двери внутренние из древесных материалов. Требования к безопасности, эксплуатационным характеристикам. Правила производства работ по монтажу, контроль и требования к результатам работ.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Прихожая пл.6,9 кв.м; коридор пл.2,3 кв.м.; коридор пл.2,3 кв.м.: -при прикладывании двухметровой рейки к поверхности пола, было выявлено отклонение от плоскости составляющее 10 мм под двухметровой рейкой, в коридоре пл.2,3 кв.м. (смежный с помещением ванной) на участке пл.2,3 кв.м. и 5 мм под двухметровой рейкой, в коридоре пл.2,3 кв.м. (смежный с помещением туалета) на участке пл.2,3 кв.м., что не соответствует требованиям таблицы 8.15 СП 71.13330.2017 «Изоляционные и отделочные покрытия. Актуализированная редакция СНиП 3.04.01-87 (с Изменением №1)»; -при обследовании железобетонной поверхности стен, выявлено отклонение от вертикали на стене смежной с помещением кухни (участок стены пл.1,5 кв.м. (железобетонный объемный вентиляционный блок, не имеющий технологического уклона согласно проектной документации)), составляющее 14 мм на 1 метр под двухметровой рейкой (28 мм на 2 метра), что превышает допустимое отклонение, составляющее 10 мм от вертикали верха плоскостей объемных блоков, согласно требований п.6.1.7 Таблицы 6.1 СП 70.13330.2012 Несущие и ограждающие конструкции. Актуализированная редакция СНиП 3.03.01-87 (с Изменениями №1, 3); -при измерительном контроле металлического дверного блока выявлено отклонение от прямолинейности кромок полотна, составляющее 5 мм на 1 метр, что превышает допустимое значение равное 1 мм на 1 метр согласно требований п.5.2.6 ГОСТ 31173-2003. Межгосударственный стандарт. Блоки дверные стальные. Технические условия.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Туалет пл. 2,3 кв.м.: -при обследовании железобетонной поверхности стен, выявлено отклонение от вертикали на стене смежной с помещением кухни (участок стены пл.4,4 кв.м. (железобетонный объемный вентиляционный блок, не имеющий технологического уклона согласно проектной документации)), составляющее 14 мм на 1 метр под двухметровой рейкой (28 мм на 2 метра), что превышает допустимое отклонение, составляющее 10 мм от вертикали верха плоскостей объемных блоков, согласно требований п.6.1.7 Таблицы 6.1 СП 70.13330.2012 Несущие и ограждающие конструкции. Актуализированная редакция СНиП 3.03.01-87 (с Изменениями №1, 3); -при обследовании мест прохождения трубопроводов через стены, было установлено, что в данных участках отсутствуют гильзы, что противоречит требованиям п. 3.6.1 СП 40-102-2000 «Проектирование и монтаж трубопроводов систем водоснабжения и канализации из полимерных материалов. Общие требования».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Ванная пл. 3,6 кв.м.: -при измерительном контроле деревянного дверного блока было установлено, что его отклонение от вертикали составляет 5 мм на 1 метр, что превышает допустимое отклонение, которое составляет 1,5 мм на 1 метр, согласно п. 7.7 СТО НОСТРОЙ 2.11.161-2014 Двери внутренние из древесных материалов. Требования к безопасности, эксплуатационным характеристикам. Правила производства работ по монтажу, контроль и требования к результатам работ.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Лоджия из кухни: -при обследовании угловых и Т-образных соединений алюминиевых профилей светопрозрачной конструкции, смонтированной на лоджии, выявлены зазоры более 0,5 мм, а также не загерметезированные щели и не плотности, что является нарушением требований п.4.2.10, п. 4.4.4 ГОСТ 21519-2003 Блоки оконные из алюминиевых сплавов. Технические условия; -при измерительном контроле распашного рамочного элемента ограждения лоджии, установлена разность длин диагоналей, составляющая 5 мм (расчет: 1622 мм – 1617 мм = 5мм), что превышает максимально допустимое отклонение, составляющее 3 мм в прямоугольных рамочных элементах при длине более 1200 мм, согласно п.4.2.4 ГОСТ 21519-2003 Блоки оконные из алюминиевых сплавов. Технические условия; -при обследовании ограждения лоджии, было установлено, что данное ограждение закреплено непосредственно к светопрозрачной алюминиевой конструкции с помощью самонарезающих винтов, что является нарушением требований п.5.3.2.5 ГОСТ Р 56926-2016 Конструкции оконные и балконные различного функционального назначения для жилых зданий. Общие технические условия (с Изменением №1); -при обследовании светопрозрачной алюминиевой ограждающей конструкции лоджии, было установлено, что данная конструкция имеет 3 не открывающихся створки (глухие), и одну открывающуюся створку, расположенные выше уровня нижнего экрана, что не соответствует требованиям п.5.3.2.2 ГОСТ Р 56926-2016 «Конструкции оконные и балконные различного функционального назначения для жилых зданий. Общие технические условия (с Изменением №1)»; -также исполнение оконной конструкций с не открывающимися (глухими) створками, не соответствует требованиям п.п.2 п.5 ст.30 Федерального закона от 30.10.2009 №384-Ф3 «Технический регламент о безопасности зданий и сооружений».</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Лоджия из жилой пл.19,2 кв.м: -при обследовании угловых и Т-образных соединений алюминиевых профилей светопрозрачной конструкции, смонтированной на лоджии, выявлены зазоры более 0,5 мм, а также не загерметезированные щели и не плотности, что является нарушением требований п.4.2.10, п.4.4.4 ГОСТ 21519-2003 Блоки оконные из алюминиевых сплавов. Технические условия; -при измерительном контроле распашного рамочного элемента ограждения лоджии, установлена разность длин диагоналей, составляющая 6 мм (расчет: 1540 мм - 1534мм = 6 мм), что превышает максимально допустимое отклонение, составляющее 3 мм в прямоугольных рамочных элементах при длине более 1200 мм, согласно п.4.2.4 ГОСТ 21519-2003 Блоки оконные из алюминиевых сплавов. Технические условия; -при обследовании ограждения лоджии, было установлено, что данное ограждение закреплено непосредственно к светопрозрачной алюминиевой конструкции с помощью самонарезающих винтов, что является нарушением требований п.5.3.2.5 ГОСТ Р 56926-2016 «Конструкции оконные и балконные различного функционального назначения для жилых зданий. Общие технические условия (с Изменением №1)»; -при обследовании светопрозрачной алюминиевой ограждающей конструкции лоджии, было установлено, что данная конструкция имеет 3 не открывающихся створки (глухие), и одну открывающуюся створку, расположенные выше уровня нижнего экрана, что не соответствует требованиям п.5.3.2.2 ГОСТ Р 56926-2016 «Конструкции оконные и балконные различного функционального назначения для жилых зданий. Общие технические условия (с Изменением №1)»; также исполнение оконной конструкции с не открывающимися (глухими) створками, не соответствует требованиям п.п.2 п.5 ст.30 Федерального закона от 30.10.2009 №384-Ф3 «Технический регламент о безопасности зданий и сооружений», согласно которому конструкция окон, должна обеспечивать их безопасную эксплуатацию, в том числе мытье и очистку наружных поверхностей. Исходя из исследования проектной документации (л.д.36, 37) следует, что, строительно-монтажные работы должны производиться в соответствии с указаниями СП 70.13330.2012 «Несущие и ограждающие конструкции», отделочные работы должны выполняться в соответствии с СП 71.13330.2017 «Изоляционные и отделочные покрытия», ведомость ссылочных документов - ГОСТ 31173-2016 «Блоки дверные стальные. Технические условия», ГОСТ 30674-99 «Блоки оконные из поливинилхлоридных профилей. Технические условия», ГОСТ 21519-2003 «Блоки оконные из алюминиевых сплавов. Технические условия» (примененные в проектной документации нормативы являются обязательными к применению). Таким образом, недостатки строительно-отделочных работ, в квартире по адресу: &lt;...&gt;, выявленные при ответе на первый вопрос, не соответствуют проектной документации. Согласно условиям договора участия в долевом строительстве объекта недвижимости №О17-186-б от 21.08.2020 года (п.2.2), отделочные работы должны выполняться в соответствии с проектом и действующими строительными нормами и правилами. При этом, исходя из исследования по первому и второму вопросу, следует, что выполненные строительно-отделочные работы, в квартире по адресу: &lt;...&gt;, не соответствуют проектной документации и действующим строительным нормам и правилам, а, следовательно, и условиям договора. Исполнение оконных конструкций с не открывающимися (глухими) створками, в том числе балкона в квартире, расположенной по адресу: &lt;адрес&gt;, не соответствует требованиям п.п.2 п.5 ст. 30 Федерального закона от 30.10.2009 №384-Ф3 «Технический регламент о безопасности зданий и сооружений». Выявленные при исследовании по первому вопросу недостатки (несоответствия заявленным требованиям отдельных элементов квартиры) в выполненных строительно-отделочных, монтажных работах, являются неотъемлемой частью исследуемой квартиры, а, следовательно, данные недостатки приводят к ухудшению качества квартиры, расположенной по адресу: &lt;адрес&gt; Выявленные недостатки общестроительных работ при ответе на второй вопрос, в квартире по адресу: &lt;адрес&gt; не являются основанием для признания исследуемого жилого помещения непригодным для проживания, а, следовательно, не делают ее (квартиру) непригодной для предусмотренного договором использования в качестве квартиры. Выявленные недостатки строительно-отделочных работ в квартире по адресу: &lt;адрес&gt; являются следствием нарушения действующих строительных норм и правил при выполнении общестроительных работ застройщиком. Стоимость работ и материалов по устранению недостатков в выполненных застройщиком строительных и отделочных работах, в квартире, расположенной по &lt;адрес&gt; рассчитана в Локальном сметном расчете №1 (приложение к заключению эксперта), и в ценах по состоянию на III квартал 2023 года составляет 284418,53 руб. Суд принимает представленное заключение как достоверное и допустимое доказательство, так как оно дано экспертом в пределах его познаний, эксперт предупрежден за дачу заведомо ложного заключения по ст. 307 УК РФ , заключение является логичным, содержит подробное описание исследования, выполнено с учетом представленной проектной документацией, имеющейся в материалах дела. Противоречий в экспертном исследовании не обнаружено, причин для признания этого письменного доказательства подложным не имеется. Заключение эксперта участниками процесса не оспорено, ходатайства о назначении по делу дополнительной или повторной судебных экспертиз отответчика не поступали. Исследовав и оценив в совокупности и взаимной связи все представленные по делу доказательства, исходя из предмета и оснований заявленных требований, а также обстоятельств, имеющих существенное значение для рассмотрения дела, суд приходит квыводу, что исковые требования подлежат удовлетворению. При этом, суд учитывает, что в пункте 2 постановления Пленума Верховного Суда Российской Федерации от28.06.2012 №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озащите прав потребителей, в силу которой недостатком товара является его несоответствие обязательным требованиям, предусмотренным законом либо вустановленном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Сделанные выводы соответствуют правоприменительной позиции Верховного Суда Российской Федерации, изложенной в Определении Судебной коллегии по гражданским делам от 04.09.2018 № 49-КГ18-38. Согласно пункту 1 статьи Закона РФ от 07.02.1992 года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При этом СП 71.13330.2017, СП 70.133302012, СП 40-102-2000, ГОСТ 12504-2015, ГОСТ 30971-2012, ГОСТ 30674-99, ГОСТ 23166-99, ГОСТ 31173-2016, ГОСТ 475-2016, ГОСТ Р 56926-2016, СТО НОСТРОЙ 2.11.161-2014, СТО НОСТРОЙ 2.23.62-2012 являются теми требованиями, которые обычно предъявляются к качеству соответствующих работ припростой отделке квартиры, о чём прямо указано в заключении эксперта. Доводы стороны ответчика о допустимости наличия глухих створок в оконных конструкциях и светопрозрачной алюминиевой конструкции в квартире истца подлежат отклонению, поскольку указанное утверждение противоречит буквальному содержанию ГОСТ 23166-99 Межгосударственный стандарт. Блоки оконные. Общие технические условия и ГОСТ Р 56926-2016 Конструкции оконные и балконные различного функционального назначения для жилых зданий. Общие технические условия; проектная документация на остекление должны была быть приведена в соответствие указанным ГОСТам (Определение Первого кассационного суда общей юрисдикции от 09.11.2022г. по делу №88-28999/2022). Таким образом, с ООО СЗ «ВыборСтрой 1» в пользу истца ФИО2 подлежит взысканию в счет стоимости устранения строительных недостатков 284418,53 руб. Частью 9 статьи Федерального закона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предусмотрено, что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Согласно части 8 статьи Федерального закона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нарушение срока устранения недостатков (дефектов) объекта долевого строительства, предусмотренного частью 6 настоящей статьи, застройщик уплачивает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за каждый день просрочки неустойку (пеню) в размере, определяемом пунктом 1 статьи Закона Российской Федерации от 7 февраля 1992 года №2300-1 «О защите прав потребителей». 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пунктом 1 статьи Закона о защите прав потребителей, от стоимости расходов, необходимых для устранения такого недостатка (дефекта). За нарушение предусмотренных ст.ст. 20, 21 и 22 названного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(п. 1 ст. Закона Российской Федерации от 07.02.1992 № 2300-1 «О защите прав потребителей»). В силу ст. Закона Российской Федерации от 07.02.1992 № 2300-1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Учитывая, что возникшие правоотношения регулируются, в том числе, законодательством о защите прав потребителей, а также учитывая претензию стороны истца, требования которой добровольно не исполнены в 10-дневный срок, по истечении указанного 10-дневного срока подлежит начислению неустойка за неисполнение требования потребителя в добровольном порядке. Между тем, на основании положений Постановления Правительства Российской Федерации №479 от 26.03.2022 года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и об особенностях включения в единый реестр проблемных объектов многоквартирных домов и (или) иных объектов недвижимости, в отношении которых застройщиком более чем на 6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 (в редакции на дату принятия решения), ч. 9 ст. 4 Закона об участии в долевом строительстве, за период с 29.03.2022 по 30.06.2023 (включительно), неустойки (штрафы, пени) и иные финансовые санкции, предусмотренные законодательством о защите прав потребителей, застройщику не начисляются. Соответственно, размер неустойки за период с 01.07.2023 по 28.11.2023 гг. в пользу истца составит 429471,98 руб., исходя из следующего расчета: 240203,88 руб. х 1% х 151 дней. Между тем, истец просит взыскать неустойку в размере 426627,79 руб., соответственно с учетом положений ч.3 ст. 196 ГПК РФ суд рассматривает спор в пределах заявленных исковых требований. В ходе рассмотрения настоящего дела ответчиком заявлено ходатайство о применении положений статьи Гражданского кодекса Российской Федерации и уменьшении размера неустойки. Согласно пункту 69 Постановления Пленума Верховного Суда РФ от 24 марта 2016 года №7 «О применении судами некоторых положений Гражданского кодекса Российской Федерации об ответственности за нарушение обязательств»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 Согласно правовой позиции Конституционного Суда РФ, выраженной в пункте 2 Определения от 21.12.2000 года №263-О, положения п. 1 ст. Гражданского кодекса Российской Федерации содержат обязанность суда установить баланс между применяемой к нарушителю мерой ответственности и оценкой действительного ущерба. Следовательно,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предоставлено суду в целях устранения явной ее несоразмерности последствиям нарушения обязательств. В п. 34 постановления Пленума Верховного Суда РФ от 28 июня 2012г. №17 «О рассмотрении судами гражданских дел по спорам о защите прав потребителей» разъяснено, что применение статьи Гражданского кодекса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Положения Гражданского кодекса Российской Федерации о неустойке не содержат каких-либо ограничений для определения сторонами обязательства размера обеспечивающей его неустойки. Вместе с тем, п. 1 ст. 333 предусматривает право суда уменьшить неустойку, если она явно несоразмерна последствиям нарушения обязательства.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предусмотренных законом правовых способов, направленных против злоупотребления правом свободного определения размера неустойки, т.е., по существу, -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С учетом компенсационного характера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соразмерна нарушенным интересам. Исходя из анализа всех обстоятельств дела, сохраняя баланс интересов истца и ответчика, с учетом компенсационного характера неустойки в гражданско-правовых отношениях, соотношения размера начисленной неустойки размеру основного обязательства, срока нарушения обязательства, принципа соразмерности взыскиваемой неустойки объему и характеру правонарушения, принимая во внимание соответствующее ходатайство со стороны ответчика, суд полагает, что размер неустойки, подлежащей взысканию с ООО СЗ «ВыборСтрой 1» в пользу истца на основании ст. Гражданского кодекса Российской Федерации подлежит снижению до разумных пределов - до 90000 руб., что соответствует требованиям п. 6 ст. Гражданского кодекса Российской Федерации. В остальной части требований о взыскании неустойки следует отказать. Также истцом заявлены требования о взыскании с ответчика неустойки в размере 1% от стоимости расходов, необходимых для устранения недостатков, по день фактического исполнения обязательства. Верховным Судом Российской Федерации в пункте 65 постановления Пленума от 24.03.2016г.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При этом день фактического исполнения нарушенного обязательства, в частности, день уплаты задолженности кредитору, включается в период расчёта неустойки. Принимая во внимание, что ответчиком требования потребителя о соразмерном уменьшении покупной цены объекта на стоимость выявленных недостатков по настоящее время не исполнено, требование истца о присуждении неустойки по день фактического исполнения этого обязательства подлежит удовлетворению. Таким образом, с ответчика в пользу каждого соистца подлежит взысканию неустойка, начисляемая на сумму 284418,53 руб. по ставке 1% в день, начиная с 29.11.2023г. и по день фактического исполнения обязательства по возврату денежных средств. Согласно ст. Закона Российской Федерации от 07.02.1992 №2300-I «О защите прав потребителей» моральный вред, причинённый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понесённых потребителем убытков. Определяя размер подлежащей взысканию компенсации морального вреда наосновании вышеуказанной правовой нормы, учитывая характер допущенных нарушений, конкретные обстоятельства дела, а также требования разумности и справедливости, суд считает достаточной компенсацию морального вреда в размере 3000руб. в пользу истца.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Вместе с тем, в Обзоре судебной практики Верховного Суда Российской Федерации №2 (2023), утв.Президиумом Верховного Суда Российской Федерации 19.07.2023г., разъяснено, что согласно пункту 6 статьи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 Таким образом, если правомерные требования потребителя не были удовлетворены застройщиком добровольно и срок для добровольного удовлетворения этих требований истек до 29 марта 2022г., то независимо от даты принятия судом решения с застройщика подлежит взысканию штраф в размере пятидесяти процентов от присужденных потребителю денежных сумм за нарушения, допущенные до 29 марта 2022г., с указанием на отсрочку уплаты этого штрафа до 30 июня 2023г. (Аналогичная позиция изложена в определении Судебной коллегии по гражданским делам от 7 июня 2021г. №46-КГ21-15-К6). Если срок для добровольного удовлетворения требований потребителя истек в период с 29 марта 2022 по 30 июня 2023 гг., то указанный выше штраф взысканию с застройщика не подлежит. Из материалов дела следует, что претензия была направлена истцом в адрес ответчика 12.05.2023г. (ШПИ 39400635736633) и получена последним 15.05.2023г. (л.д. 16-17), в связи, с чем исходя из вышеуказанной правовой позиции, штраф не подлежит взысканию. В соответствии с частью 1 статьи 98 ГПК РФ стороне, в пользу которой состоялось решение суда, суд присуждает возместить с другой стороны все понесённые по делу судебные расходы, за исключением случаев, предусмотренных частью 2 статьи96ГПКРФ. В случае, если иск удовлетворён частично, указанные внастоящей статье судебные расходы присуждаются истцу пропорционально размеру удовлетворённых судом исковых требований, а ответчику пропорционально той части исковых требований, в которой истцу отказано. В соответствии с ч.1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Согласно пункту 13 постановления Пленума Верховного Суда Российской Федерации от 21.01.2016 № 1 «О некоторых вопросах применения законодательства овозмещении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Разумность судебных издержек на оплату услуг представителя не может быть обоснована известностью представителя лица, участвующего в деле. В силу пункта 15 данного постановления Пленума Верховного Суда Российской Федерации расходы представителя, необходимые для исполнения его обязательства пооказанию юридических услуг, например расходы на ознакомление с материалами дела, наиспользование сети Интернет, на мобильную связь, на отправку документов, неподлежат дополнительному возмещению другой стороной спора, поскольку в силу статьи 309.2 ГК РФ такие расходы, по общему правилу, входят в цену оказываемых услуг, если иное не следует из условий договора (часть 1 статья 100 ГПК РФ , статья 112 КАС РФ , часть 2 статья 110 АПК РФ ). В соответствии с пунктами 10 и 11 постановления Пленума Верховного Суда Российской Федерации от 21.01.2016 № 1 лицо, заявляющее о взыскании судебных издержек, должно доказать факт их несения, а также связь между понесёнными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неё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Исходя из изложенных обстоятельств, руководствуясь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а также учитывая результат рассмотрения дела, объём выполненных юридических услуг, продолжительность судебных заседаний, принимая во внимание сложившуюся стоимость оплаты услуг представителей в Воронежской области, соблюдая баланс интересов сторон, суд приходит к выводу о необходимости взыскания расходов на оплату юридических услуг в размере 30000 руб., не находя оснований для их снижения, из которых: составление искового заявления – 10000 руб., участие представителя в судебном заседании 11.07.2023г. – 10000 руб., участие представителя в судебном заседании 28.11.2023г. – 10000 руб. Указанная сумма судебных расходов является разумной, соответствует характеру и сложности дела, понесённым трудовым и временным затратам на составление процессуальных документов и представление интересов лица в суде. Исходя из требований части 1 статьи 103 ГПК РФ издержки, понесённые судом в связи с рассмотрением дела, и государственная пошлина, от уплаты которых истец был освобождён, взыскиваются с ответчика, не освобождённого от уплаты судебных расходов, пропорционально удовлетворённой части исковых требований. В этом случае взысканные суммы зачисляются в доход бюджета, за счёт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Таким образом, с учетом размера взысканных судом денежных средств, удовлетворения требований имущественного и не имущественного характера с ответчика подлежит взысканию в доход бюджета городского округа город Воронеж государственная пошлина в размере 10610 руб. (ст. 333.19 НК РФ ). На основании изложенного, и руководствуясь ст.ст. - 198ГПК РФ , суд РЕШИЛ: Исковые требования ФИО2 к обществу с ограниченной ответственностью специализированный застройщик «ВыборСтрой 1» о соразмерном уменьшении цены договора, взыскании неустойки, компенсации морального вреда, судебных расходов, - удовлетворить частично. Взыскать с общества сограниченной ответственностью специализированный застройщик «ВыборСтрой 1» (ИНН &lt;***&gt;) впользу ФИО2 (паспорт (№)) в счет соразмерного уменьшения цены договора на стоимость устранения недостатков объекта недвижимости – 284418,53 руб., неустойку – 90000 руб., компенсацию морального вреда – 3000 руб., расходы по оплате услуг представителя – 30000 руб., а всего 407418 (четыреста семь тысяч четыреста восемнадцать) руб. 53 руб. Взыскивать с общества с ограниченной ответственностью специализированный застройщик «ВыборСтрой 1» в пользу ФИО2 неустойку, начисляемую на остаток основного долга в размере 284418,53 руб. поставке1% вдень, начиная с 29.11.2023г. по день фактического исполнения обязательства повозврату денежных средств в размере 284418,53 руб. В остальной части требований отказать. Взыскать с общества сограниченной ответственностью специализированный застройщик «ВыборСтрой 1» в доход местного бюджета – бюджета городского округа город Воронеж государственную пошлину вразмере 10610 (десять тысяч шестьсот десять) руб. Решение может быть обжаловано в апелляционном порядке в судебную коллегию погражданским делам Воронежского областного суда в течение месяца со дня принятия решения суда в окончательной форме путём подачи апелляционной жалобы черезКоминтерновский районный суд города Воронежа. Судья Е.В. Косарева Решение в окончательной форме изготовлено 05.12.2023 года. Суд: Коминтерновский районный суд г. Воронежа (Воронежская область) (подробнее) Ответчики: ООО СЗ "ВыборСтрой1" (подробнее) Судьи дела: Косарева Елена Васильевна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