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Имеются ли квартире, расположенной по адресу: &lt;адрес&gt;, недостатки в выполненных застройщиком строительных и отделочных работах, а также иные недостатки?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указанные недостатки имеются, каковы причины их возникновения, являются ли они следствием нарушения застройщиком условий договора, требований технических регламентов, проектной документации, градостроительных регламентов, иных действующих строительных норм и правил, а также обязательных требований?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Какова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Привели ли имеющиеся недостатки к ухудшению качества квартиры, расположенной по адресу: &lt;адрес&gt;, и (или) делают ее непригодной для предусмотренного договором использования?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Какова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 приведших к ухудшению качества квартиры? Согласно заключению судебной экспертизы №2024-1018 от 28.12.2024 эксперт ФИО4 пришел к следующим выводам по поставленным судом вопросам: В выполненных застройщиком строительных и отделочных работах в помещениях квартиры № (№), расположенной в многоквартирном доме по адресу: &lt;адрес&gt;, имеются недостатки (дефекты) и нарушения строительных норм и правил, обычно предъявляемых к качеству строительных и отделочных работ,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Требований п.6.6.3 ГОСТ 12504-2015 «Панели стеновые внутренние бетонные и железобетонные для жилых и общественных зданий. Общие технические условия (Переиздание)» – при обследовании стен двухметровой рейкой, на отдельных стенах помещений квартиры выявлены отклонения от прямолинейности поверхностей железобетонных панелей, превышающие допустимые предельные отклонения в 5 мм. (для панелей диной свыше 2,5 м. до 4,0 м.), а именно: – в прихожей – на нижней части стены (стена между прихожей и помещением кухни) отклонения глубиной 10 мм. на участке площадью 0,55 кв.м.; – в помещении кухни – на высоту стены (стена справа при входе в помещение) отклонения глубиной 6 мм. на участке площадью 3,06 кв.м.; – в жилой комнате – на высоту стены (стена противоположная от входа в помещение) отклонения глубиной 7 мм. на участках площадью 7,87 кв.м.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Требований п.8.14.1 (Табл. 8.15) СП 71.13330.2017 «Изоляционные и отделочные покрытия. Актуализированная редакция СНиП 3.04.01-87» – при обследовании полов в помещении квартиры, выявлены просветы между двухметровой рейкой и поверхностью пола, превышающие допустимые предельные отклонения в 2 мм., а именно: – в помещении кухни – просветы глубиной 8 мм., на площади 1,56 кв.м.; – в жилой комнате – просветы глубиной 6 мм., на площади 8,58 кв.м.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Требований п.8.14.1 (Табл. 8.15) СП 71.13330.2017 «Изоляционные и отделочные покрытия. Актуализированная редакция СНиП 3.04.01-87» – при обследовании полов совмещенного санузла квартиры, облицованных керамической плиткой, выявлены дефекты в виде отсутствия сцепления отдельных плиток с нижележащими элементами пола (при простукивании изменение характера звучания («глухой» звук)).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Требований п.4.3.3.2. ГОСТ 28786-2019 «Блоки дверные деревянные и комбинированные. Определение свойств в различных климатических условиях (с Поправкой)» – при измерительном контроле межкомнатных дверных блоков квартиры выявлены отклонения от вертикали, превышающие допустимые предельные отклонения в 2,0 мм. на 1 м. длины блока, а именно: – в помещении кухни – отклонение дверного блока от вертикали составляет 6 мм. на 1 метр (12 мм. на высоту блока); – в жилой комнате – отклонение дверного блока от вертикали составляет 5 мм. на 1 метр (10 мм. на высоту блока).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Требований п.Г.6 Приложения «Г» ГОСТ 31173-2016 «Блоки дверные стальные. Технические условия» – при измерительном контроле входного металлического дверного блока квартиры выявлены отклонения от вертикали, превышающие допустимые предельные отклонения в 1,5 мм. на 1 м. длины блока – отклонение дверного блока от вертикали составляет 2,5 мм. на 1 метр (5 мм. на высоту блока).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Требований п.5.1.6. ГОСТ 23166-99 «Блоки оконные. Общие технические условия» – при обследовании установлено, что оконный блок в жилой комнате имеет две глухие створки из трёх.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Требований Табл. Ж1 приложения Ж ГОСТ 34378-2018 «Конструкции, ограждающие светопрозрачные. Окна и двери. Производство монтажных работ, контроль и требования к результатам работ» – при измерительном контроле оконного и балконного (дверного) блоков в помещениях квартиры, выявлены отклонения от вертикали, превышающие допустимые предельные отклонения в 3,0 мм. на высоту изделия, а именно: – в помещении кухни – отклонение балконного (дверного) блока от вертикали составляет 9 мм. на высоту изделия; – в жилой комнате – отклонение оконного блока от вертикали составляет 7 мм. на высоту изделия.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Требований п.5.3.2.2.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остекление лоджии квартиры имеет три глухие створки из пяти.</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Требований п.5.3.2.5. (в)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ограждение лоджии квартиры закреплено непосредственно к светопрозрачной алюминиевой конструкции с помощью самонарезающих винтов. Недостатки (дефекты) в строительных и отделочных работах в помещениях квартиры, расположенной в многоквартирном доме по адресу: &lt;адрес&gt;, выявленные экспертом в ходе натурного осмотра и, описанные в исследовании по первому вопросу, носят производственный характер (производственные дефекты), являются следствием несоблюдения застройщиком требований нормативно-технической документации (СНиП, СП и ГОСТ). Выявленные недостатки не являются следствием нарушения застройщиком условий договора, требований технических регламентов, проектной документации, градостроительных регламентов, а также иных обязательных требований (являются отступлением от требований, применяемых на добровольной основе). На основании расчета, приведенного в Приложении к экспертному заключению (Локальная смета №1), стоимость работ и материалов, необходимых для устранения недостатков в выполненных застройщиком строительных и отделочных работах в квартире, расположенной по адресу: &lt;адрес&gt;, на момент производства экспертизы с учетом НДС составляет 343983,70 руб. (Триста сорок три тысячи девятьсот восемьдесят три рубля) 70 коп. Недостатки (дефекты) в строительных и отделочных работах в помещениях квартиры, расположенной в многоквартирном доме по адресу: &lt;адрес&gt;, выявленные экспертом в ходе натурного осмотра и, описанные в исследовательской части по первому вопросу данного заключения, являются следствием несоблюдения застройщиком требований нормативно-технической документации (СНиП, СП и ГОСТ), в связи с чем наличие данных недостатков (дефектов) приводит к ухудшению качества квартиры, расположенной по адресу: &lt;адрес&gt;. В ходе проведенного осмотра установлено, что квартира, расположенная по адресу: &lt;адрес&gt;, используется по ее функциональному назначению – для проживания. Выявленные недостатки не создают собственникам квартиры препятствий в пользовании квартирой, не оказывают влияние на параметры внутреннего микроклимата: освещенность, воздухообмен, температуру в помещениях, при нарушении которых условия для проживания в квартире были бы ухудшены и невозможны. На основании вышеизложенного следует сделать вывод о том, что выявленные недостатки в квартире, расположенной по адресу: &lt;адрес&gt;, не сделали ее не пригодной для предусмотренного договором использования.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 приведших к ухудшению качества квартиры, указана в исследовательской части по третьему вопросу данного заключения, которая согласно расчета, приведенного в Приложении к экспертному заключению (Локальная смета №1), составляет 343 983,70 руб. (Триста сорок три тысячи девятьсот восемьдесят три рубля) 70 коп. По смыслу положений ст. 86 ГПК РФ экспертное заключение является одним из важных доказательств по делу, поскольку оно отличается использованием специальных познаний и научными методами исследования, тем не менее, суд при наличии в материалах рассматриваемого дела заключения эксперта, не может пренебрегать иными добытыми по делу доказательствами, в связи с чем, законодателем в ст. 67 ГПК РФ закреплено правило о том, что ни одно доказательство не имеет для суда заранее установленной силы, а в положениях ч. 3 ст. 86 ГПК РФ отмечено, что заключение эксперта для суда необязательно и оценивается наряду с другими доказательствами. Суд оценивает экспертное заключение с точки зрения соблюдения процессуального порядка назначения экспертизы, соблюдения процессуальных прав лиц, участвующих в деле, соответствия заключения поставленным вопросам, его полноты, обоснованности и достоверности в сопоставлении с другими доказательствами по делу. Оценивая полученное заключение судебной экспертизы, сопоставив его с совокупностью других доказательств по гражданскому делу, суд не находит оснований не доверять выводам эксперта, предупрежденного об уголовной ответственности, имеющих надлежащий опыт проведения такого рода экспертиз и квалификацию. Выводы заключения согласуются с иными имеющимися в материалах гражданского дела доказательствами, что позволяет суду положить его в основу судебного решения. В рамках рассмотрения настоящего дела юридически значимым обстоятельством является отнесение требований, упомянутых в экспертном заключении стандартов и сводов правил, нарушенных ответчиком, к тем требованиям, которые обычно предъявляются к качеству соответствующих работ при строительстве квартиры. Исходя из положений п. 3.23 «СП 48.13330.2019. Свод правил. Организация строительства. СНиП 12-01-2004», утвержденных Приказом Минстроя России от 24.12.2019 № 861/пр, к участникам строительства относятся застройщик, технический заказчик, генеральная подрядная организация, подрядные организации, эксплуатирующие организации, органы государственного строительного надзора, проектные организации и т.д.). Согласно п. 4.2. СП 48.13330.2019, действия участников строительства, работы, выполняемые в процессе строительства, реконструкции, капитального ремонта, сноса, их результаты должны обеспечивать соответствие завершенных строительством объектов утвержденной проектной документации, ограничениям и требованиям, установленным разрешенным использованием земельного участка (градостроительного плана земельного участка), требованиям технических регламентов и при этом обеспечивать безопасность для третьих лиц и окружающей среды, выполнение требований безопасности труда, сохранности объектов культурного наследия. На основании пункта 1 статьи Закона Российской Федерации от 7 февраля 1992 г. № 2300-1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Так, в соответствии с пунктом 2.2. договора участия в долевом строительстве объекта недвижимости стороны по настоящему делу согласовали общие характеристики квартиры (подъезд, этаж, проектную площадь, расположение на плане этажа), а также то, что отделочные работы и оборудование подлежат выполнению и установке в соответствии с проектом, выполняются в соответствии с договором, действующими строительными нормами и правилами и определяются сторонами в технической характеристике. В приложении № 3 к договору участия в долевом строительстве объекта недвижимости указаны технические характеристики многоквартирного жилого дом, основные характеристики жилого помещения и его техническое состояние. При этом, описание технического состояния помещения носит общий характер и не содержит ссылок на конкретные нормативные требования. Исходя из буквального толкования указанного пункта договора, качество квартиры, передаваемой истцам, должно соответствовать проектной документации, которая, в свою очередь, не должна противоречить требованиям документов в области стандартизации. При этом условиями договора не предусмотрено, что при выполнении застройщиком работ допускаются строительные дефекты или иные отступления от условий договора, наличие которых ответчиком не опровергнуто. В соответствии с пунктом 12 части 1 статьи 2 Федерального закона от 29 июня 2015 г. № 162-ФЗ «О стандартизации в Российской Федерации» (далее по тексту – Федеральный закон № 162-ФЗ) стандарт организации - документ по стандартизации, утвержденный юридическим лицом, в том числе государственной корпорацией, саморегулируемой организацией, а также индивидуальным предпринимателем для совершенствования производства и обеспечения качества продукции, выполнения работ, оказания услуг. В соответствии со статьей 21 Федерального закона № 162-ФЗ стандарты организаций разрабатываются организациями самостоятельно исходя из необходимости их применения для обеспечения целей, указанных в статье 3 настоящего Федерального закона (ч.1). Стандарты организаций и технические условия разрабатываются с учетом соответствующих документов национальной системы стандартизации (ч.2). Технические условия разрабатываются изготовителем и (или) исполнителем и применяются в соответствии с условиями, установленными в договорах (контрактах) (ч.3). Порядок разработки, утверждения, учета, изменения, отмены и применения стандартов организаций и технических условий устанавливается организациями самостоятельно с учетом применимых принципов, предусмотренных статьей 4 настоящего Федерального закона (ч.4). Проект стандарта организации, а также проект технических условий перед их утверждением может представляться в соответствующий технический комитет по стандартизации или проектный технический комитет по стандартизации для проведения экспертизы, по результатам которой технический комитет по стандартизации или проектный технический комитет по стандартизации готовит соответствующее заключение (ч.5). Одними из целей и принципов стандартизации является повышение качества продукции, выполнения работ, оказания услуг и повышение конкурентоспособности продукции (ФИО)7 производства (пункт 6 части 1 статьи 3 Федерального закона № 162-ФЗ), добровольность применения документов по стандартизации, соответствие документов по стандартизации действующим на территории Российской Федерации техническим регламентам, непротиворечивость национальных стандартов друг другу (пункты 1, 8, 9 статьи 4 Федерального закона № 162-ФЗ). Таким образом, судом установлено, что требования, упомянутые в экспертном заключении стандартов и сводов правил, нарушенных ответчиком, являются теми требованиями, которые обычно предъявляются к качеству соответствующих работ при строительстве квартиры. Из экспертного заключения судом установлено, что перечисленные в нем недостатки жилого помещения, возникли по вине застройщика и привели к ухудшению качества принадлежащего истцу жилого помещения. В соответствии со ст. , 56 ГПК РФ , гражданский процесс носит состязательный характер, 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Как разъяснил Пленум Верховного Суда РФ в пункте 28 Постановления «О рассмотрении судами гражданских дел по спорам о защите прав потребителей» № 17 от 28.06.2012,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(пункт 4 статьи , пункт 5 статьи , пункт 5 статьи 23.1 , пункт 6 статьи Закона о защите прав потребителей, статья 1098 ГК РФ ). Ответчиком в ходе рассмотрения дела не представлено каких-либо надлежащих доказательств, опровергающих наличие указанных выше недостатков спорного жилого помещения, свою вину в их образовании, а также наличие причинно-следственной связи между названными недостатками и ухудшением качества квартиры. Таким образом, суд, проанализировав установленные обстоятельства, оценив доказательства по гражданскому делу в их совокупности, руководствуясь указанными нормами материального права и заключением судебной экспертизы приходит к выводу об установлении факта наличия недостатков в выполненных застройщиком ООО СЗ «ВЫБОРСТРОЙ 1» работах при строительстве квартиры по адресу: &lt;адрес&gt;, в рамках предусмотренного законом гарантийного срока, стоимость устранения которых составляет 343 983,70 рублей, что свидетельствует об обоснованности заявленных ФИО1 исковых требований в указанной части. Исходя из изложенного, в пользу ФИО1 с ответчика подлежит взысканию стоимость устранения строительных недостатков квартиры в сумме 343 983,70 рублей. Частью 2 статьи 10 Закона о долевом строительстве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 На основании п. 45 Постановления Пленума Верховного Суда Российской Федерации от 28.06.2012 года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При рассмотрении настоящего гражданского дела судом был установлен факт нарушения ответчиком прав истцов и, учитывая характер допущенных нарушений, с ответчика в пользу истца следует взыскать компенсацию морального вреда в размере 3000,00 рублей. В соответствии со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Истец ФИО1 просит суд взыскать с ответчика ООО СЗ «ВЫБОРСТРОЙ 1» расходы на оплату услуг представителя в сумме 25000 рублей. В обоснование заявленных требований приложен договор об оказании юридической помощи, заключенный между ФИО1 и Адвокатами Дегтяревым С.П. и Дегтяревой Н.В., квитанции к приходным кассовым ордерам на сумму 25000 рублей. Материалами дела подтверждается, что представителем истца было подготовлено исковое заявление, правовая позиция по делу, уточненное исковое заявление. Кроме того, интересы истца в судебных заседаниях суда первой инстанции 07.02.2025 представляла представитель адвокат Дегтярева Н.В. Согласно ст. 48 ГПК РФ , граждане вправе вести свои дела в суде лично или через представителей. Личное участие в деле гражданина не лишает его права иметь по этому делу представителя. Дела организаций ведут в суде их органы, действующие в пределах полномочий, предоставленных им федеральным законом, иными правовыми актами или учредительными документами, либо представители. В п. 12 Постановления Пленума Верховного Суда РФ от 21.01.2016 года N 1 "О некоторых вопросах применения законодательства о возмещении издержек, связанных с рассмотрением дела" разъяснено, что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 1 ст. 100 ГПК РФ ).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(п.13 Постановление Пленума Верховного Суда РФ от 21.01.2016 N 1 "О некоторых вопросах применения законодательства о возмещении издержек, связанных с рассмотрением дела"). Согласно п. 11 названного Постановления Пленума Верховного Суда РФ,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 (ч. 3) Конституции Российской Федерации. Именно поэтому в ч. 1 ст. 100 ГПК РФ речь идет, по существу, об обязанности суда установить баланс между правами лиц, участвующих в деле. Изучив предоставленные доказательства и учитывая отсутствие мотивированных возражений ответчика, а также тех обстоятельств, что заявленные и понесенные истцом расходы на оплату услуг представителя не превышают минимальных размеров вознаграждения за конкретные виды юридической помощи, установленные постановлением совета адвокатской палаты Воронежской области от 12.12.2019 "О минимальных ставках вознаграждения за оказываемую юридическую помощь", суд считает необходимым взыскать с ООО СЗ «ВЫБОРСТРОЙ 1» расходы на оплату услуг представителя истца в полном объеме в сумме 25000 рублей, полагая указанную сумму соответствующей как объему оказанной помощи, так и принципу разумности и справедливости. Помимо указанного, на основании ст.ст. , 103 ГПК РФ с ответчика в доход соответствующего бюджета подлежит взысканию определенная согласно ст. 333.19 . НК РФ государственная пошлина в сумме 6 380,00 рублей. Руководствуясь ст.ст. , , - 198 ГПК РФ , суд РЕШИЛ: Исковые требования ФИО1 к обществу с ограниченной ответственностью специализированный застройщик «ВЫБОРСТРОЙ 1» о взыскании стоимости устранения строительных недостатков квартиры, компенсации морального вреда, судебных расходов, удовлетворить. Взыскать с общества с ограниченной ответственностью специализированный застройщик «ВЫБОРСТРОЙ 1» ОГРН&lt;***&gt;, ИНН&lt;***&gt;, в пользу ФИО1, (ДД.ММ.ГГГГ) года рождения, паспорт (№) расходы на устранение строительных недостатков в размере 343 983,70 рублей, компенсацию морального вреда в размере 3000,00 рублей, судебные расходы в размере 25000,00рублей. Взыскать с общества с ограниченной ответственностью специализированный застройщик «ВЫБОРСТРОЙ 1» ОГРН&lt;***&gt;, ИНН&lt;***&gt;, в доход бюджета городского округа город Воронеж государственную пошлину в размере 6 380,00 рублей. Решение может быть обжаловано в апелляционном порядке в Воронежский областной суд в течение месяца со дня его принятия в окончательной форме через Коминтерновский районный суд города Воронежа. Судья Н.А. Каширина Решение принято в окончательной форме 21 февраля 2025 года Суд: Коминтерновский районный суд г. Воронежа (Воронежская область) (подробнее) Ответчики: ООО СЗ "ВыборСтрой 1" (подробнее) Судьи дела: Каширина Наталья Александровна (судья) (подробнее) Последние документы по делу: Решение от 5 марта 2025 г. по делу № 2-163/2025 Решение от 6 февраля 2025 г. по делу № 2-163/2025 Решение от 15 января 2025 г. по делу № 2-163/2025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