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 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 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 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 Продолжительность срока годности товара должна соответствовать обязательным требованиям к безопасности товара.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 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 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31.07.2020 между ООО СЗ «ВЫБОР» и ФИО1 был заключен договор №О19-124 купли-продажи квартиры №(№), общей площадью 59,8 кв.м, расположенной на 11 этаже многоквартирного жилого дома по адресу: &lt;адрес&gt;. Стоимость квартиры оценена сторонами в размере 2703 820,00 рублей. Управлением Росреестра по Воронежской области было зарегистрировано право собственности ФИО1 на указанное жилое помещение, что подтверждается выпиской из ЕГРН. Застройщиком многоквартирного жилого дома по адресу: &lt;адрес&gt;, является ответчик ООО СЗ «ВЫБОР», что подтверждается разрешением на строительство и разрешением на ввод объекта в эксплуатацию. 21.06.2024 истцом в адрес ООО СЗ «ВЫБОР» была направлена претензия о возмещении расходов на устранение недостатков товара, которая была вручена адресату 25.06.2024, но разрешена во внесудебном порядке не была. Определением Коминтерновского районного суда города Воронежа от 06.09.2024 по гражданскому делу по ходатайству представителя ответчика была назначена судебная экспертиза, производство которой поручено ООО «НЦ ФОРЕНЗИКА», на разрешение эксперта которого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в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Согласно заключению судебной экспертизы ООО «НЦ ФОРЕНЗИКА» №2024-1078 от 28.12.2024 эксперт ФИО2 пришел к следующим выводам по поставленным судом вопросам: В выполненных застройщиком строительных и отделочных работах в помещениях &lt;адрес&gt;,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(для панелей диной свыше 2,5 м. до 4,0 м.), а именно: – в жилой комнате (детская) – на высоту двух стен (стена с дверным блоком и стена противоположная от входа в помещение) отклонения глубиной 6 и 7 мм. на участках площадью 7,58 кв.м.; – в коридоре (смежном с помещением кухни и санузлом) – на нижней части стены (стена между коридором и кухней (вентканал)) отклонения глубиной 6 мм. на участке площадью 0,59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прихожей – просветы глубиной 4 мм., на площади 0,63 кв.м.; – в жилой комнате (детская) – просветы глубиной 6 мм., на площади 1,68 кв.м.; – в коридоре (смежном с жилой комнатой (спальня) и ванной комнатой) – просветы глубиной 6 мм., на площади 1,19 кв.м.; – в жилой комнате (спальня) – просветы глубиной 7 мм., на площади 0,78 кв.м.; – в помещении кухни – просветы глубиной 9 мм., на площади 3,51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жилой комнате (детская) – отклонение дверного блока от вертикали составляет 5,5 мм. на 1 метр (11 мм. на высоту блока); – в жилой комнате (спальня) – отклонение дверного блока от вертикали составляет 5 мм. на 1 метр (10 мм. на высоту блока); – в санузле – отклонение дверного блока от вертикали составляет 2,5 мм. на 1 метр (5 мм. на высоту блока); – в помещении кухни – отклонение дверного блока от вертикали составляет 3 мм. на 1 метр (6 мм. на высоту блока).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5,5 мм. на 1 метр (11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оконный блок в жилой комнате (детская) имеет две глухие створки из трёх, а оконный блок в жилой комнате (спальня) имеет одну глухую створку из двух.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оконных и балконных (дверных) блоков в помещениях квартиры, выявлены отклонения от вертикали, превышающие допустимые предельные отклонения в 3,0 мм. на высоту изделия, а именно: – в жилой комнате (детская) – отклонение балконного (дверного) блока от вертикали составляет 5 мм. на высоту изделия; – в жилой комнате (спальня) – отклонение оконного блока от вертикали составляет 5 мм. на высоту изделия; – в помещении кухни – отклонение балконного (дверного) блока от вертикали составляет 5 мм. на высоту изделия.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остекления двух лоджий квартиры имеют по три глухие створки из четырёх.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ограждения двух лоджий квартиры закреплены непосредственно к светопрозрачным алюминиевым конструкциям с помощью самонарезающих винтов.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Выявленные недостатки не являются следствием нарушения застройщиком условий договора, требований технических регламентов, проектной документации, градостроительных регламентов, а также иных обязательных требований (являются отступлением от требований, применяемых на добровольной основе). На основании расчета, приведенного в Приложении к экспертному заключению (Локальная смета (№)),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394177,99 руб. (Триста девяносто четыре тысячи сто семьдесят семь рублей) 99 коп.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в квартире, расположенной по адресу: &lt;адрес&gt;, не сделали ее не пригодной для предусмотренного договором использования.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указана в исследовательской части по третьему вопросу данного заключения, которая согласно расчета, приведенного в Приложении к экспертному заключению (Локальная смета №1), составляет 394 177,99 руб.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Доказательств, указывающих на недостоверность проведенной экспертизы, либо ставящих под сомнение ее выводы, участниками процесса не представлено, а проведенные ранее судебные экспертизы имеют установленные изъяны, что не позволяет суду положить их в основу судебного решения. Суд учитывает, что после проведения судебной экспертизы какие-либо новые документы технического или иного характера, содержание которых способно повлиять на выводы экспертов, в материалы дела не представлялись. С учетом изложенного, суд считает возможным принять заключение судебной экспертизы в качестве надлежащего доказательства. В рамках рассмотрения настоящего дела юридически значимым обстоятельством является отнесение требований, упомянутых в калькуляции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Условиями договора купли-продажи не предусмотрено, что при выполнении застройщиком работ допускаются строительные дефекты или иные отступления.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N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Довод ответчика, что недостатки выявлены истцом после окончания гарантийного срока, в связи с чем, требования истца не подлежат удовлетворению, суд отклоняет. Согласно абзацу 2 части 3 статьи Закона о защите прав потребителей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Из содержания положений статьи Гражданского кодекса Российской Федерации и пункта 3 статьи Закона о защите прав потребителей следует, что приобретя право собственности на квартиру по договору купли-продажи, покупатель приобрел (как потребитель) и право требования к застройщику (подрядчику) об устранении выявленных в квартире недостатков при их обнаружении в течение гарантийного срока, а при его отсутствии в пределах пяти лет (в отношении объекта недвижимости), поскольку гарантийные обязательства застройщика (подрядчика) на результат работы в случае отчуждения объекта недвижимости третьим лицам сохраняются. Таким образом, недостатки строительных работ в квартире истца были обнаружены в течение предусмотренного законом пятилетнего срока, в течение которого он как потребитель имеет право на обращение к застройщику – ООО СЗ «ВЫБОР» с требованием о возмещении расходов по устранению недостатков выполненной работы (оказанной услуги).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 работах при строительстве квартиры по адресу: &lt;адрес&gt;, в рамках установленного законом гарантийного срока, стоимость устранения которых составляет 394 177,99 рублей, что свидетельствует об обоснованности заявленных исковых требований в данной части. В силу статьи Гражданского кодекса Российской Федерации срок удовлетворения требования потребителя исчисляется в календарных днях. Частью 1 статьи Закона РФ от 07.02.1992 года № 2300-1 «О защите прав потребителей» предусмотрено, что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Истец просит взыскать с ответчика неустойку за период с 06.07.2024 по 21.02.2025 в размере 910551,55 рублей исходя из следующего расчета: 394177,99 х 1% = 3941,78 х 231 дней = 910551,55 рублей. Суд считает расчет истца арифметически верным, однако, при рассмотрении требований о взыскании неустойки исходит из следующего. Верховным Судом Российской Федерации в пункте 65 постановления Пленума от 24.03.2016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При этом день фактического исполнения нарушенного обязательства, в частности, день уплаты задолженности кредитору, включается в период расчёта неустойки. Принимая во внимание, что ответчиком требование потребителя об устранении недостатков по настоящее время не исполнено, требование истца о присуждении неустойки по день фактического исполнения этого обязательства подлежит удовлетворению. Вместе с тем, в соответствии со статей Гражданского Кодекса Российской Федерации, неустойкой (пени, штрафом)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В соответствии со ст. ГК Российской Федерации, если подлежащая уплате неустойка явно несоразмерна последствиям нарушения обязательства, суд вправе уменьшить неустойку. Следовательно, при оценке степени соразмерности неустойки последствиям нарушения кредитного обязательства суд должен исходить из того, что ставка рефинансирования, являясь единой учетной ставкой Центрального банка Российской Федерации, по существу, представляет собой наименьший размер имущественной ответственности за неисполнение или ненадлежащее исполнение денежного обязательства. Таким образом, позиция законодателя направленная на обеспечение баланса интереса участников правоотношений долевого участия и согласуется с основополагающими принципами гражданского законодательства, изложенными в пунктах 3, 4 статьи 1 ГК РФ , согласно которым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80 постановления Постановление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заявлены требования о взыскании неустойки, установленной договором в виде сочетания штрафа и пени за одно нарушение, а должник просит снизить ее размер на основании статьи 333 ГК РФ , суд рассматривает вопрос о соразмерности неустойки последствиям нарушения обязательств исходя из общей суммы штрафа и пени. Суд в соответствии со статьей 333 ГК РФ вправе уменьшить размер неустойки, если она явно несоразмерна последствиям нарушения обязательств. При этом судом должны быть приняты во внимание степень выполнения обязательства должником, имущественное положение истца, а также не только имущественный, но и всякий иной заслуживающий уважения интерес ответчика. Согласно части 2 пункта 34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применение ст. ГК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Исходя из смысла приведенных выше правовых норм и разъяснений, а также принципа осуществления гражданских прав своей волей и в своем интересе (ст. 1 ГК РФ ), размер неустойки может быть снижен судом на основании ст. Гражданского кодекса РФ и только при наличии соответствующего заявления со стороны ответчика.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Кроме того, снижение размера неустойки не должно вести к необоснованному освобождению должника от ответственности за просрочку исполнения обязательства. В ходе судебного разбирательства стороной ответчика было заявлено о снижении размера неустойки и штрафных санкций, в связи с их явной несоразмерностью последствиям нарушения обязательства. Суд соглашается с доводами ответчика и считает чрезмерной предъявленную к взысканию неустойку в размере 910551,55рублей, которая значительно превосходит определенную судом стоимость устранения строительных недостатков квартиры, в связи с чем полагает возможным снизить размер неустойки до 300000,00 рублей. Таким образом, с ООО СЗ «ВЫБОР» в пользу истца подлежит взысканию неустойка за период с 06.07.2024 по 21.02.2025 в размере 300000,00 рублей. Указанный выше размер неустойки соблюдает баланс интересов сторон настоящего спора, восстанавливает нарушенные права истца и не отразится негативно на производственной деятельности ответчика. Ответчик, возражая против удовлетворения требования о взыскании неустойки, помимо просьбы о ее снижении, ссылается на действие Постановления Правительства РФ № 326 от 18.03.2024, устанавливающего мораторий на применение финансовых санкций к застройщикам. Так, указанным Постановлением Правительства РФ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Пунктом 65 Постановления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установлено, что по смыслу статьи 330 ГК РФ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Вместе с тем, квартира истцом была приобретена на основании договора купли-продажи и указанное нормативное регулирование не подлежит применению к правоотношениям сторон спора. Таким образом, требование истца о начислении неустойки по день фактического исполнения обязательств ответчиком суд считает обоснованными, в связи с чем неустойка подлежит взысканию за заявленный истцом период с 22.02.2025 по день фактического исполнения обязательства в размере 1% от стоимости устранения недостатков. Статьей Закон РФ от 07.02.1992 года № 2300- «О защите прав потребителей» установлено, что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истца и, учитывая характер допущенных нарушений, с ответчика в пользу истца следует взыскать компенсацию морального вреда в размере 3000,00 рублей.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На основании изложенного, суд полагает, что имеются основания для взыскания штрафа с ответчика, предусмотренного п. 6 ст. Закона РФ «О защите прав потребителей», который суд, с учетом просьбы ответчика о его снижении, а также тех обстоятельств, что взысканная неустойка также является по своей сути штрафной санкцией, полагает возможным определить в размере 150000,00рублей. Истец ФИО1 просит суд взыскать с ответчика ООО СЗ «ВЫБОР» судебные расходы в размере 30 000 рублей по оплате услуг представителя. В обоснование заявленных требований суду предоставлены следующие доказательства: договор об оказании юридической помощи, заключенный между ФИО1 и Адвокатами Дегтяревым С.П. и Дегтяревой Н.В., квитанции к приходным кассовым ордерам на сумму 30 000,00 рублей. Материалами дела подтверждается, что представителем истца было подготовлено исковое заявление, правовая позиция по делу, уточненное исковое заявление, отзыв на возражения ответчика. Кроме того, интересы истца в судебном заседании суда первой инстанции 21.02.2025,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истцами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 расходы на оплату услуг представителя истцов в полном объеме в сумме 30 000,00 рублей, полагая указанную сумму соответствующей как объему оказанной помощи, так и принципу разумности и справедливости. Также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10 442,00 рублей. Руководствуясь ст.ст. , , - 198 ГПК РФ , суд РЕШИЛ: Исковые требования ФИО1 к обществу с ограниченной ответственностью Специализированный застройщик «ВЫБОР» об уменьшении цены договора купли-продажи объекта недвижимости на стоимость устранения строительных недостатков квартиры, взыскании неустойки, компенсации морального вреда, штрафа, удовлетворить. Взыскать с общества ограниченной ответственностью Специализированный застройщик «ВЫБОР», ИНН&lt;***&gt;, в пользу (ФИО)2, (ДД.ММ.ГГГГ) года рождения, паспорт (№) расходы на устранение строительных недостатков в размере 394 177,99 рублей, неустойку за период с 06.07.2024 по 21.02.2025 в размере 300000,00 рублей, с продолжением ее начисления на сумму 394 177,99 рублей по ставке 1 % в день с 22.02.2025 по день фактического исполнения обязательства, компенсацию морального вреда в размере 3000,00 рублей, штраф в размере 150000,00 рублей, расходы на оплату услуг представителя в размере 30000,00 рублей. Взыскать с общества с ограниченной ответственностью специализированный застройщик «ВЫБОР», ОГРН&lt;***&gt;, ИНН&lt;***&gt;, в доход бюджета городского округа город Воронеж государственную пошлину в размере 10 442,00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7 марта 2025 года Суд: Коминтерновский районный суд г. Воронежа (Воронежская область) (подробнее) Ответчики: ООО СЗ "Выбор" (подробнее) Судьи дела: Каширина Наталья Александровна (судья) (подробнее) Последние документы по делу: Решение от 8 октября 2025 г. по делу № 2-249/2025 Решение от 10 августа 2025 г. по делу № 2-249/2025 Решение от 17 июля 2025 г. по делу № 2-249/2025 Решение от 26 марта 2025 г. по делу № 2-249/2025 Решение от 4 марта 2025 г. по делу № 2-249/2025 Решение от 20 февраля 2025 г. по делу № 2-249/2025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