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Причинение морального вреда потерпевшему в связи с причинением вреда его здоровью во всех случаях предполагается, и сам факт причинения вреда здоровью, в том числе при отсутствии возможности точного определения его степени тяжести, является достаточным основанием для удовлетворения иска о компенсации морального вреда.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Факт причинения морального вреда потерпевшему от преступления, в том числе преступления против собственности, не нуждается в доказывании, если судом на основе исследования фактических обстоятельств дела установлено, что это преступление нарушает личные неимущественные права потерпевшего либо посягает на принадлежащие ему нематериальные блага.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Наличие причинной связи между противоправным поведением причинителя вреда и моральным вредом (страданиями как последствиями нарушения личных неимущественных прав или посягательства на иные нематериальные блага) означает, что противоправное поведение причинителя вреда повлекло наступление негативных последствий в виде физических или нравственных страданий потерпевшего.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общему правилу, ответственность за причинение морального вреда возлагается на лицо, причинившее вред (пункт 1 статьи 1064 ГК РФ 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Моральный вред, причиненный работником при исполнении трудовых (служебных, должностных) обязанностей, подлежит компенсации работодателем (абзац первый пункта 1 статьи 1068 ГК РФ ). Осуждение или привлечение к административной ответственности работника как непосредственного причинителя вреда, прекращение в отношении его уголовного дела и (или) уголовного преследования, производства по делу об административном правонарушении не освобождают работодателя от обязанности компенсировать моральный вред, причиненный таким работником при исполнении трудовых (служебных, должностных) обязанностей.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Моральный вред, причиненный деятельностью, создающей повышенную опасность для окружающих, подлежит компенсации владельцем источника повышенной опасности (статья 1079 ГК РФ 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Моральный вред подлежит компенсации независимо от формы вины причинителя вреда (умысел, неосторожность). Вместе с тем при определении размера компенсации морального вреда суд учитывает форму и степень вины причинителя вреда (статья 1101 ГК РФ ). Причинно-следственная связь между совершенным ФИО1ом деянием и причинением тяжкого вреда здоровью потерпевшим ФИО25, установлена в полном объеме. Моральные страдания, понесенные потерпевшими в результате причинения тяжкого вреда их здоровью в результате совершения осужденным преступления, также является установленными. На основании положений ст.ст. , 1101 ГК РФ определяя размер денежной компенсации морального вреда в отношении каждого потерпевшего суд учитывает совокупность конкретных незаконных действий причинителя вреда, выразившихся в нарушении п.10.1 ПДД, повлекших причинение тяжкого вреда здоровью потерпевших в результате столкновения автомобилей, учитывает тяжесть причиненных каждому потерпевшему физических и нравственных страданий и индивидуальными особенностями его личности – предшествующее состояние здоровья, возраст, учитывает фактические обстоятельства дела, а также требования разумности и справедливости, соразмерности компенсации последствиям нарушения прав. Определяя размер компенсации морального вреда, суд учитывает то, что преступление совершено ФИО1 – работником по неосторожности, учитывает и степень вины причинителя вреда, а также меры, принятые им для снижения (исключения) вреда, - досудебное принесение ФИО1ом извинений, выплата по 20 тыс. руб. каждому потерпевшему ФИО1ом. Также суд учитывает, что в действиях потерпевших, в т.ч. водителя ФИО2 №1 не установлено каких-либо противоправных действий, способствующих причинению вреда. Также суд учитывает тяжесть причиненных каждому потерпевшему физических и нравственных страданий с учетом заслуживающих внимания фактических обстоятельств дела, влияющих на степень и характер таких страданий. &lt;данные изъяты&gt; В связи с этим сумма компенсации морального вреда, подлежащая взысканию с ответчика, должна быть соразмерной последствиям нарушения и компенсировать потерпевшему перенесенные им физические или нравственные страдания (статья 151 ГК РФ ), устранить эти страдания либо сгладить их остроту. При решении вопроса о разумности присуждаемой суммы суд учитывает все обстоятельства дела, в том числе значимости компенсации относительно обычного уровня жизни и общего уровня доходов потерпевших. Учитывая изложенное, а также доводы истцов, их представителя, прокурора, гражданского ответчика, осужденного, суд апелляционной инстанции полагает, что исковые требования подлежат удовлетворению частично. На основании изложенного, руководствуясь ст. ст. 389.20 , 389.28 , 389.33 УПК РФ , суд апелляционной инстанции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