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Входная металлическая дверь установлена не по уровню: - отклонение от вертикали составляет 5 мм на высоту дверного блока; п.Г.6 Приложения «Г» ГОСТ 31173-2016 «Блоки дверные стальные. Технические условия» Демонтаж/монтаж наличников - 5,19 м. Демонтаж/монтаж доборов -0,41 кв.м. м. Демонтаж/монтаж входной металлической двери - 2,12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Межкомнатные двери установлены не по уровню: отклонение от вертикали в жилой комнате (спальня) составляет 6 мм на высоту изделия, отклонение от вертикали в кухне составляет 6 мм на высоту изделия. п.4.3.3.2. ГОСТ 28786- 2019 «Блоки дверные деревянные и комбинированные. Определение свойств в различных климатических условиях (с Поправкой)» Демонтаж/монтаж дверей - 4,10 кв.м. (2,05*2=4,1).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помещениях квартиры выявлены отклонения поверхности покрытия пола от плоскости при проверке двухметровой контрольной рейкой: в коридорах под аркой - 4 мм;в жилой комнате (спальня) - 9 мм; в жилой комнате (детская) - 5 мм; в кухне - 4 мм.п.8.14.1 (Табл. 8.15) СП 71.13330.2017 «Изоляционные и отделочные покрытия. Актуализированная редакция СНиП 3.04.01-87». Демонтаж/монтаж плинтусов без замены материала - 59,77 м (7,79+10,22+13,16+15,62+ 12,98 = 59,77); Демонтаж/монтаж ламината без замены материала - 53,57 кв.м. (5,85+7,63+12,04+16,26+ 11,79 = 53,57); Выравнивание пола - 11,75 кв.м. (3,65+4,6+1,5+2,0 = 11,75).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простукивании пола ванны выявлены изменения характера звучания («глухой» звук - отсутствие сцепления между плиткой и стяжкой пола) пола. п.7.1.8, п.7.1.9. (Табл.7.1.) и п.7.4.3. СП 71.13330.2017 «Изоляционные и отделочные покрытия. Актуализированная редакция СНиП 3.04.01- 87». Демонтаж/монтаж ванны - 1 шт.; Демонтаж монтаж раковины -1 шт.; Демонтаж/монтаж облицовки полов плитками - 3,20 кв.м.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простукивании стен ванны и санузла выявлены изменения характера звучания («глухой» звук - отсутствие сцепления между плиткой и стеной), а также неровности плоскости облицовки стен - 3 мм. п.7.1.8, п.7.1.9. (Табл.7.1.), п.7.4.3. и п.7.4.17 (Табл.7.6.) СП 71.13330.2017 «Изоляционные и отделочные покрытия. Актуализированная редакция СНиП 3.04.01- 87». Демонтаж/монтаж натяжного потолка - 4,85 кв.м (3,20+1,65=4,85); Демонтаж/монтаж унитаза - 1,0 шт.; Демонтаж/монтаж наличников - 9,60 м.п. (4,7+4,9 = 9,6); Демонтаж/монтаж облицовки стен - 29,16 кв.м. (16,26+12,9 = 29,16); Выравнивание стен - 0,95 кв.м. (0,64+0,31 = 0,95).</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помещении квартиры выявлены отклонения поверхности стен от плоскости при проверке двухметровой контрольной рейкой: в коридоре S- 7,63кв.м. - в верхней части стены над аркой 7 мм, на всю высоту стены L- 3,24м - 6 мм. п.6.6.3 ГОСТ 2504-2015 «Панели стеновые внутренние бетонные и железобетонные для жилых и общественных зданий. Общие технические условия (Переиздание)». Демонтаж/монтаж натяжного потолка (для выравнивания стен) - 7,63 кв.м.; Демонтаж/монтаж наличников - 19,50 м.п. (4,9*2+5,0+4,7 = 19,5); Снятие/оклейка обоев на стенах - 28,76 кв.м.; Выравнивание поверхности стен - 5,68 кв.м. (0,68+5,0 = 5,68).</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жилой комнате (детская) установлены оконные блоки с двумя не открывающимися створками из трех п.5.1.6. ГОСТ 23166-99 «Блоки оконные. Общие технические условия» Демонтаж стеклопакетов - 1,56 кв.м. (0,78*2 = 1,56); Монтаж открывающихся створок -1,56 кв.м.; Остекление створок - 1,20 кв.м. (0,6*2=1,2).</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помещении лоджии квартиры установлен витраж с двумя не открывающимися створками. п.5.3.2.2. ГОСТ Р 56926- 2016 «Конструкции оконные и балконные различного функционального назначения для жилых зданий. Общие технические условия» Демонтаж глухих створок - 1,78 кв.м.; Монтаж открывающихся створок - 1,78 кв.м.</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Отсутствует автономное ограждение балкона квартиры. п.5.3.2.5. (в) ГОСТР 56926-2016 «Конструкции оконные и балконные различного функционального назначения для жилых зданий. Общие технические условия» Монтаж автономного ограждения - 2,52 п.м. Стоимость устранения имеющихся недостатков составляет 251 871,62 руб. (л.д.16-39). Ходатайств о назначении по делу судебной экспертизы сторонами в судебном заседании заявлено не было. Согласно ст. Гражданского кодекса Российской Федерации (далее – ГК РФ) обязательства должны исполняться надлежащим образом о соответствии с условиями обязательства и требованиями закона. В соответствии с ч.1 ст. 310 ГК РФ ,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Согласно статье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Статьей 2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определено, что застройщиком является юридическое лицо независимо от его организационно-правовой формы, имеющее в собственности или на праве аренды, на праве субаренды земельный участок и привлекающее денежные средства участников долевого строительства в соответствии с настоящим Федеральным законом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 В соответствии с частями 1, 2, 5 и 6 статьи 7 указанного Федерального закона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(ч.7 ст.7). Суд учитывает, что возникшие между сторонами правоотношения регулируются Законом Российской Федерации от 07.02.1992 № 2300-1 «О защите прав потребителей». Согласно разъяснениям, содержащимся в пунктах 1, 2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рассмотрении гражданских дел судам следует учитывать, что отношения, одной из сторон которых выступает гражданин, использующий, приобретающий, заказывающий либо имеющий намерение приобрести или заказать товары (работы, услуги) исключительно для личных, семейных, домашних, бытовых и иных нужд, не связанных с осуществлением предпринимательской деятельности, а другой - организация либо индивидуальный предприниматель (изготовитель, исполнитель, продавец, импортер), осуществляющие продажу товаров, выполнение работ, оказание услуг, являются отношениями, регулируемыми Гражданским кодексом Российской Федерации, Законом Российской Федерации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о защите прав потребителей применяется в части, не урегулированной специальными законами. Следовательно, спорные правоотношения, возникшие из договора участия в долевом строительстве, подпадают под действие Закона о защите прав потребителей в части, не урегулированной специальным законом - Федеральным законом об участии в долевом строительстве. В соответствии с п.1 ст. Закона РФ «О защите прав потребителей» потребитель в случае обнаружения в товаре недостатков, если они не были оговорены продавцом, по своему выбору вправе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Пункт 2 ст. Закона РФ «О защите прав потребителей», при нарушении прав потребителей, предусматривает взыскание убытков. Согласно разъяснению, содержащемуся в абзаце первом п.28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(п.4 ст. , п.5 ст. , п.5 ст. 23.1 , п.6 ст. Закона о защите прав потребителей). Следовательно, освобождение застройщика от ответственности за неисполнение обязательств перед участником долевого строительства по основаниям, предусмотренным законом, допускается судом только в том случае, если наличие таких оснований доказано застройщиком. В ходе эксплуатации квартиры истцом обнаружены недостатки технического состояния квартиры. Факт наличия недостатков в жилом помещении подтверждён заключением эксперта, которое сторонами в судебном заседании не оспаривалось, ходатайств о назначении по делу судебной экспертизы заявлено не было. Частью 4 ст.10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 Положения настоящей части не применяются при определении размера неустоек (пеней), предусмотренных частями 2 и 2.1 статьи 6 настоящего Федерального закона,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договора по основаниям, предусмотренным настоящим Федеральным законом. Согласно п.2.1 договора № 16/74-421 долевого участия в строительстве от 13.11.2020 цена договора составляет 2 988 828 руб. (л.д.7 об.). Таким образом, с учетом требований ч.4 ст.10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сумма, заявленная истцом ко взысканию в счет соразмерного уменьшения цены договора долевого участия в строительстве на стоимость устранения недостатков объекта долевого строительства является 86 994 руб. 84 коп., что составляет три процента от цены договора (2 988 828 руб.), подлежит взысканию с ответчика в пользу истца. Истцом также заявлены требования о взыскании компенсации морального вреда, причиненного в результате ненадлежащего исполнения обязательств ответчиком, который он оценивает в 10 000 руб. Согласно ст. Закона Российской Федерации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ст. 1099 ГК РФ , основания и размер компенсации гражданину морального вреда определяются правилами, предусмотренными настоящей главой и статьей 151 настоящего Кодекса.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 Компенсация морального вреда осуществляется независимо от подлежащего возмещению имущественного вреда. Согласно разъяснениям, содержащимся в пункте 45 постановления Пленума Верховного Суда Российской Федерации № 17 от 28.06.2012 «О рассмотрении судами гражданских дел по спорам о защите прав потребителей», при решении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Поскольку действиями ответчика были нарушены права истца как потребителя, то с учетом установленных по делу обстоятельств, исходя из принципа разумности и справедливости, с ответчика подлежит взысканию компенсация морального вреда в пользу истца в размере 2 000 руб. Поскольку исковые требования истца были предъявлены застройщику в период действия ограничений, установленных Постановлением Правительства Российской Федерации от 18.03.2024 № 326, то штраф, предусмотренный ч.3 ст.10 Федерального закона от 30.12.2004 № 214-ФЗ, не подлежит начислению и взысканию с застройщика. В соответствии с ч.1 ст. , ч.1 ст. 100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ч.2 ст. 96 ГПК РФ . Истцом ФИО1 понесены расходы за подготовку досудебного экспертного заключения № 7-2025 в сумме 40 000 руб. (л.д.45). Суд признает указанные расходы необходимыми с целью установления наличия (отсутствия) недостатков строительных работ. Учитывая, что исковые требования удовлетворены, требования о взыскании расходов за производство досудебного исследования также подлежат удовлетворению, поскольку являются производными от основных. В силу ст. ГПК Российской Федерации к издержкам, связанным с рассмотрением дела относятся расходы на оплату услуг представителя, другие признанные судом необходимыми расходы. Истцом ФИО1 заявлено требование о взыскании расходов на оплату услуг представителя в размере 30 000 рублей, из которых: 10 000 рублей – за подготовку искового заявления; 20 000 рублей – за участие представителя в судебных заседаниях 06.08.2025, 28.08.2025. Суд считает доказанным факт несения истцом расходов на оплату услуг представителя, поскольку они подтверждаются: договором на оказание юридической помощи от 09.04.2025 (л.д.46); квитанциями к приходному кассовому ордеру № от ДД.ММ.ГГГГ и № от ДД.ММ.ГГГГ (л.д.47, 77), актами о приемке оказанных услуг от 04.07.2025 и от 28.08.2025 (л.д.48, 78). Представители истца – адвокаты Пальчиков Т.Е. и Дудиков Е.А. принимали участие в судебных заседаниях, соответственно, 06.08.2025 и 28.08.2025, что подтверждается протоколами судебных заседаний. Суд считает необходимым уменьшить сумму, взыскиваемую в возмещение расходов по оплате услуг представителей за участие в судебных заседаниях 06.08.2025, 28.08.2025 до 14 000 рублей; за составление искового заявления до 7 000 рублей, признавая эти расходы чрезмерными в силу конкретных обстоятельств дела, его категории, продолжительности рассмотрения и сложности. Также суд считает необходимым отметить, что постановление Совета Адвокатской палаты Воронежской области «О минимальных ставках вознаграждения за оказываемую юридическую помощь» носит рекомендательный характер для самих адвокатов, но не для суда, который должен руководствоваться положениями ст. 100 ГПК РФ с учетом разъяснений, данных в постановлении Пленума Верховного Суда Российской Федерации от 21.01.2016 № 1. В соответствии с изложенным, с ООО «СК «Воронежбытстрой» в пользу ФИО1 подлежат взысканию расходы на представителя в размере 21 000 рублей. В соответствии с п.3 ст. Закона РФ «О защите прав потребителей» и п.п.4 п.2 ст. 333.36 НК РФ истцы освобождены от уплаты государственной пошлины при подаче искового заявления. С ответчика в соответствии со ст. 103 ГПК РФ , подлежит взысканию в бюджет муниципального образования городской округ город Воронеж госпошлина в размере 7 000 руб., из них 4 000 руб. по имущественным требованиям и 3 000 руб. по требованию о компенсации морального вреда. Руководствуясь ст.ст. - 199 ГПК РФ , суд решил: исковые требования ФИО1 к обществу с ограниченной ответственностью «Специализированный застройщик «Воронежбытстрой» о взыскании стоимости строительных недостатков, судебных расходов, компенсации морального вреда – удовлетворить частично. Взыскать с общества с ограниченной ответственностью «Специализированный застройщик «Воронежбытстрой» (ИНН №) в пользу ФИО1 (ДД.ММ.ГГГГ года рождения) в счет соразмерного уменьшения цены договора долевого участия в строительстве № от ДД.ММ.ГГГГ денежную сумму в размере 86 994 руб. 84 коп., компенсацию морального вреда в размере 2 000 руб., расходы на досудебное исследование в размере 40 000 руб., расходы на представителя в размере 21 000 руб., а всего 149 994 (сто сорок девять тысяч девятьсот девяносто четыре) рубля 84 коп. Взыскать с общества с ограниченной ответственностью «Специализированный застройщик «Воронежбытстрой» (ИНН №) в бюджет муниципального образования городской округ &lt;адрес&gt; государственную пошлину в размере 7 000 рублей 00 копеек. Решение может быть обжаловано в апелляционном порядке в Воронежский областной суд через Советский районный суд &lt;адрес&gt; в течение одного месяца со дня принятия решения в окончательной форме. Судья Н.Д. Сабко В окончательной форме решение изготовлено ДД.ММ.ГГГГ. Суд: Советский районный суд г. Воронежа (Воронежская область) (подробнее) Ответчики: ООО "Воронежбытстрой" (подробнее) Судьи дела: Сабко Надежда Дмитриевна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