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для группы сближенных сдвоенных осей с расстоянием между сближенными осями свыше 1,3 до 1,8 м (включительно) для автомобильной нагрузки, рассчитанной на нормативную нагрузку 10 тонн на ось составляет 18 тонн (для двухскатных колес),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группы сближенных сдвоенных осей с расстоянием между сближенными осями свыше 1,3 до 1,8 м (включительно), на дорогах, имеющих нормативную нагрузку 10 тонн на ось транспортного средства, допустимой является нагрузка 15 тонн на группу сближенных сдвоенных осей (четвертая строка таблицы, средняя колонка). При таких обстоятельствах доводы ФИО1, изложенные в жалобе, об отсутствии в его действиях состава административного правонарушения являются несостоятельными. Ссылка ФИО1 на то, что ранее он перевозил изделия из металла, при этом перегруз не фиксировался, подтверждённая предоставленными описями и транспортными накладными не опровергает вины ФИО1 в совершении административного правонарушения. Представленные документы о грузе, погруженном на транспортное средство 1 апреля 2025 года, не свидетельствуют о том, что перегруз не был допущен при движении транспортного средства 3 апреля 2025 года. В соответствии со статьей 1.7 Кодекса Российской Федерации об административных правонарушениях,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(часть 1).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(часть 2). Федеральным законом от 7 июля 2025 года № 209-ФЗ части 2 и 3 статьи 12.21.1 Кодекса Российской Федерации об административных правонарушениях признаны утратившими силу, а абзац первый части 5 этой статьи изложен в новой редакции. Согласно части 5 статьи 12.21.1 Кодекса Российской Федерации об административных правонарушениях (в действующей редакции)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частью 3 статьи 12.21.5 настоящего Кодекса, - влечет наложение административного штрафа на собственника (владельца) транспортного средства в размере четырехсот пятидесяти тысяч рублей. Из этого следует, что совершенное ФИО1 деяние в настоящее время образует состав административного правонарушения, предусмотренного частью 5 статьи 12.21.1 Кодекса Российской Федерации об административных правонарушениях, санкцией которого установлено наказание в виде административного штрафа в меньшем размере. Согласно обязательной для нижестоящих судов правовой позиции, сформулированной в п. 33.2 постановления Пленума Верховного Суда Российской Федерации от 24.03.2005 N 5 (ред. от 23.12.2021) "О некоторых вопросах, возникающих у судов при применении Кодекса Российской Федерации об административных правонарушениях", разрешая жалобы на постановления по делам об административных правонарушениях, необходимо учитывать положения части 2 статьи 1.7 Кодекса Российской Федерации об административных правонарушениях, в соответствии с которой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при условии, что постановление о назначении административного наказания не исполнено. Административный штраф, назначенный ФИО1, до настоящего времени не уплачен. Соответственно, положения Федерального закона от 7 июля 2025 года № 209-ФЗ, как улучшающие положение лица, в отношении которого ведется производство по делу об административном правонарушении, распространяются на ФИО1 Совершенное им деяние подлежит переквалификации с части 3 статьи 12.21.1 Кодекса Российской Федерации об административных правонарушениях на часть 5 статьи 12.21.1 Кодекса Российской Федерации об административных правонарушениях (в редакции Федерального закона от 7 июля 2025 года № 209-ФЗ) со снижением размера административного штрафа. Согласно ч. 1 ст. 4.1.1 Кодекса Российской Федерации об административных правонарушениях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В соответствии с частью 2 статьи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является индивидуальным предпринимателем, согласно сведениям из Единого реестра субъектов малого и среднего предпринимательства он имеет статус микропредприятия. Данные обстоятельства с учётом того, что ранее ФИО1 к административной ответственности не привлекался (сведений об обратном не имеется) свидетельствуют о том, что уплата административного штрафа в размере 450 000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до 300 000 рублей. На основании изложенного, руководствуясь ст. ст. 30.7 , 30.8 Кодекса Российской Федерации об административных правонарушениях, р е ш и л: Жалобу ФИО1 оставить без удовлетворения. Постановление № 10677481250587150439, вынесенное 16 апреля 2025 года государственным инспектором МТУ Ространснадзора по ЦФО ФИО2, изменить. Переквалифицировать действия ФИО1 с ч. 3 ст. 12.21.1 Кодекса Российской Федерации об административных правонарушениях на ч. 5 ст. 12.21.1 Кодекса Российской Федерации об административных правонарушениях в редакции Федерального закона от 7 июля 2025 года № 209-ФЗ и назначить административное наказание в виде административного штрафа в размере 300 000 (трёхсот тысяч) рублей. На решение может быть подана жалоба в Камчатский краевой суд в течение десяти дней со дня вручения или получения копии решения. Судья подпись П.В. Кошелев &lt;данные изъяты&gt; &lt;данные изъяты&gt;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