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Доска обрезная в количестве 8 штук, размером 25*150 мм, длиной 6 метров, стоимостью 625 рублей за 1 штуку, на сумму 5000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Брус в количестве 24 штуки, размером 100*40 мм, длиной 4 метра, стоимостью 50 рублей за 1 штуку, на сумму 1200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Стропила в количестве 9 штук, размером 150*50 мм, длиной 4 метра стоимостью 200 рублей за 1 штуку, на сумму 1800 рублей. Затем путем совместных действий, складировали обнаруженный ими строительный материал за ограждение территории животноводческой базы ООО «Заозерный», после чего, с похищенным скрылись и распорядились им в дальнейшем по своему усмотрению. Причинив своими преступными действиями ООО «СтройМонтажСервис» материальный ущерб на сумму 8000 рублей. Органами предварительного следствия действия ФИО1 и ФИО2 квалифицированны по п. п. «а, б» ч. 2 ст. Уголовного кодекса Российской Федерации, по признакам - кража, то есть тайное хищение чужого имущества, совершенная группой лиц по предварительному сговору, с незаконным проникновением в иное хранилище. В судебное заседание от представителя потерпевшей организации ООО «СтройМонтажСервис» ФИО3 поступило ходатайство о прекращении уголовного дела в отношении ФИО1 и ФИО2, в связи с примирением сторон, в котором он указал, что с подсудимыми он примирился, претензий к ним он не имеет, ущерб полностью возмещен. Подсудимые ФИО1 и ФИО2, а также их защитники, и государственный обвинитель в судебном заседании согласились о прекращении уголовного дела в отношении ФИО1 и ФИО2 в связи с примирением сторон. Рассматривая данный вопрос, суд, принимает во внимание, что ФИО1 и ФИО2 ранее не судимы, совершенное ими преступление относится к категории преступлений средней тяжести, вину признали полностью, искренне раскаиваются в содеянном, ущерб возместили в полном объеме. С учетом изложенного, суд находит, что в данном случае соблюдены условия определенные ст. Уголовного кодекса Российской Федерации и уголовное дело в отношении ФИО1 и ФИО2 по п. п. «а, б» ч. 2 ст. Уголовного кодекса Российской Федерации может быть прекращено, на основании ст. 25 Уголовно-процессуального кодекса Российской Федерации, то есть в связи с примирением сторон. В соответствии с ч. 2 ст. 97 Уголовно-процессуального кодекса Российской Федерации меру пресечения ФИО1 и ФИО2 в виде подписки о невыезде и надлежащем поведении до вступления постановления в законную силу – оставить без изменения. Определяя судьбу вещественных доказательств, в соответствии с требованиями ст. 81 Уголовно-процессуального кодекса Российской Федерации суд считает необходимым по вступлении постановления в законную силу: - 8 обрезных досок, размером 25*150 мм, длиной 6 метров; 24 бруса, размером 100*40 мм, длиной 4 метра; 9 стропил, размером 150*50 мм, длиной 4 метра, находящиеся у представителя потерпевшей организации ФИО3 – оставить по принадлежности законному владельцу – ООО «СтройМонтажСервис», освободив ФИО3 от обязанности по хранению. На основании изложенного, руководствуясь п. 3 ч. 1 ст. 254 Уголовно-процессуального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