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12-30/2020 (УИД 52RS0006-01-2019-002255-09)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19 октября 2020 г. по делу № 12-30/2020 Решение от 16 сентября 2020 г. по делу № 12-30/2020 Решение от 26 июля 2020 г. по делу № 12-30/2020 Решение от 20 июля 2020 г. по делу № 12-30/2020 Решение от 17 мая 2020 г. по делу № 12-30/2020 Решение от 2 апреля 2020 г. по делу № 12-30/2020 Решение от 25 февраля 2020 г. по делу № 12-30/2020 Решение от 25 февраля 2020 г. по делу № 12-30/2020 Решение от 19 февраля 2020 г. по делу № 12-30/2020 Решение от 5 февраля 2020 г. по делу № 12-30/2020 Решение от 5 февраля 2020 г. по делу № 12-30/2020 Решение от 4 февраля 2020 г. по делу № 12-30/2020 Решение от 27 января 2020 г. по делу № 12-30/2020 Решение от 24 января 2020 г. по делу № 12-30/2020 Решение от 19 января 2020 г. по делу № 12-30/2020 Решение от 16 января 2020 г. по делу № 12-30/2020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