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12-23/2020 (УИД 52RS0006-01-2019-002210-47)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15 ноября 2020 г. по делу № 12-23/2020 Решение от 11 ноября 2020 г. по делу № 12-23/2020 Решение от 28 октября 2020 г. по делу № 12-23/2020 Решение от 19 октября 2020 г. по делу № 12-23/2020 Решение от 27 мая 2020 г. по делу № 12-23/2020 Решение от 12 мая 2020 г. по делу № 12-23/2020 Решение от 11 мая 2020 г. по делу № 12-23/2020 Решение от 26 февраля 2020 г. по делу № 12-23/2020 Решение от 12 февраля 2020 г. по делу № 12-23/2020 Решение от 9 февраля 2020 г. по делу № 12-23/2020 Решение от 9 февраля 2020 г. по делу № 12-23/2020 Решение от 5 февраля 2020 г. по делу № 12-23/2020 Решение от 3 февраля 2020 г. по делу № 12-23/2020 Решение от 27 января 2020 г. по делу № 12-23/2020 Решение от 21 января 2020 г. по делу № 12-23/2020 Решение от 20 января 2020 г. по делу № 12-23/2020 Решение от 13 января 2020 г. по делу № 12-23/2020 Решение от 9 января 2020 г. по делу № 12-23/2020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