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w:t>
        <w:br/>
        <w:t>06</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протоколом об административном правонарушении от ДД.ММ.ГГГГ 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досье ФИО3;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уведомлением о прекращении трудового договора с ФИО3;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уведомлением об исполнении работодателем обязанности по выплате заработной платы иностранному гражданину высококвалифицированному специалисту;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рапортом начальника ОИК УВМ ГУ МВД России по Нижегородской области от ДД.ММ.ГГГГ;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сведениями о иностранных гражданах высококвалифицированных специалистах;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запросом в ООО «Монтажэнергострой»;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ответом ООО «Монтажэнергострой» с приложением;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выпиской из ЕГРЮЛ в отношении ООО «Монтажэнергострой»;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уведомлением о времени и месте составления протокола об административном правонарушении;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почтовыми уведомлениями о вручении;</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уведомлением о времени и месте рассмотрения дела об административном правонарушении; Оценивая каждое доказательство с точки зрения относимости, допустимости и достоверности, а все их в совокупности с точки зрения достаточности для разрешения дела, суд оснований не доверять им не находит. Процессуальных нарушений при составлении письменных доказательств, которые послужили бы основанием к прекращению производства по делу не допущено. Письменные доказательства являются допустимыми и могут быть положены в основу вынесенного постановления. В силу изложенного, суд полагает, что должностное лицо, вынесшее постановление по делу об административном правонарушении, пришло к правильному выводу о нарушении в ООО «Монтажэнергострой» установленного порядка об исполнении обязательств по выплате заработной платы (вознаграждения) иностранному гражданину - высококвалифицированному специалисту и, как следствие, наличию в действиях общества состава административного правонарушения, предусмотренного ч.5 ст. 18.15 КоАП РФ. Доводы жалобы о введении в заблуждение работника общества сотрудником УВМ ГУ МВД России по Нижегородской области не могут быть приняты во внимание, поскольку данные факты не подтверждаются объективными доказательствами. Кроме того, обществом в установленном законом порядке не оспаривались действия сотрудника УВМ ГУ МВД России по Нижегородской области, отказавшегося принимать уведомления. Также суд не находит оснований для признания деяния малозначительным по смыслу ст. 2.9 КоАП РФ. К моменту вынесения постановления по делу об административном правонарушении установленный ч.1 ст. 4.5 КоАП РФ срок привлечения к административной ответственности - один год - не истек. В соответствии с ч.3.2 ст. 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ста тысяч рублей. Принимая во внимание, что фактически заработная плата иностранному гражданину - высококвалифицированному специалисту выплачивалась, суд приходит к выводу о наличии оснований для применения положений ч.ч. 3.2, 3.3 ст. 4.1 КоАП РФ при назначении обществу наказания. Учитывая изложенное, а также положения ч.ч. 3.2, 3.3 ст. 4.1 КоАП РФ при отсутствии обстоятельств, отягчающих административную ответственность, суд приходит к выводу о возможном снижении размера наложенного на общество административного штрафа до 200000 рублей. На основании изложенного, руководствуясь ст.ст. 30.5 - 30.8 Кодекса РФ об административных правонарушениях, суд РЕШИЛ: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изменить: снизить размер назначенного административного штрафа до 200000 (двести тысяч) рублей. В остальной части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оставить без изменения, жалобу защитника ООО «Монтажэнергострой» без удовлетворения. Настоящее решение может быть обжаловано в Нижегородский областной суд через Сормовский районный суд г.Нижнего Новгорода в течение 10 дней со дня получения копии решения. Судья А.А. Нутрик Копия верна Подлинник документа находится в материалах дела № 12-46/2020 (УИД 52RS0006-01-2019-002271-58) в Сормовском районном суде г.Нижнего Новгорода. Судья А.А. Нутрик Суд: Сормовский районный суд г. Нижний Новгород (Нижегородская область) (подробнее) Судьи дела: Нутрик Александр Александрович (судья) (подробнее) Последние документы по делу: Решение от 13 мая 2020 г. по делу № 12-46/2020 Решение от 12 мая 2020 г. по делу № 12-46/2020 Решение от 11 мая 2020 г. по делу № 12-46/2020 Решение от 22 апреля 2020 г. по делу № 12-46/2020 Решение от 22 апреля 2020 г. по делу № 12-46/2020 Решение от 26 февраля 2020 г. по делу № 12-46/2020 Решение от 18 февраля 2020 г. по делу № 12-46/2020 Решение от 5 февраля 2020 г. по делу № 12-46/2020 Решение от 4 февраля 2020 г. по делу № 12-46/2020 Решение от 4 февраля 2020 г. по делу № 12-46/2020 Решение от 2 февраля 2020 г. по делу № 12-46/2020 Решение от 26 января 2020 г. по делу № 12-46/2020 Решение от 20 января 2020 г. по делу № 12-46/2020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