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12</w:t>
      </w:r>
    </w:p>
    <w:p>
      <w:pPr>
        <w:spacing w:after="80"/>
        <w:jc w:val="center"/>
      </w:pPr>
      <w:r>
        <w:rPr>
          <w:rFonts w:ascii="Times New Roman" w:hAnsi="Times New Roman" w:eastAsia="Times New Roman" w:cs="Times New Roman"/>
          <w:b w:val="0"/>
          <w:i w:val="0"/>
          <w:sz w:val="22"/>
        </w:rPr>
        <w:t>город</w:t>
        <w:br/>
        <w:t>06</w:t>
      </w:r>
    </w:p>
    <w:p>
      <w:pPr>
        <w:spacing w:after="200"/>
        <w:jc w:val="center"/>
      </w:pPr>
      <w:r>
        <w:rPr>
          <w:rFonts w:ascii="Times New Roman" w:hAnsi="Times New Roman" w:eastAsia="Times New Roman" w:cs="Times New Roman"/>
          <w:b w:val="0"/>
          <w:i w:val="0"/>
          <w:sz w:val="22"/>
        </w:rPr>
        <w:t>06 февраля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протоколом об административном правонарушении от ДД.ММ.ГГГГ Ю№;</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досье ФИО3;</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уведомлением о прекращении трудового договора с ФИО3;</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уведомлением об исполнении работодателем обязанности по выплате заработной платы иностранному гражданину высококвалифицированному специалисту;</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рапортом начальника ОИК УВМ ГУ МВД России по Нижегородской области от ДД.ММ.ГГГГ;</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сведениями о иностранных гражданах высококвалифицированных специалистах;</w:t>
      </w:r>
    </w:p>
    <w:p>
      <w:pPr>
        <w:pStyle w:val="Heading3"/>
      </w:pPr>
      <w:r>
        <w:rPr>
          <w:rFonts w:ascii="Times New Roman" w:hAnsi="Times New Roman" w:eastAsia="Times New Roman" w:cs="Times New Roman"/>
          <w:b/>
          <w:i w:val="0"/>
          <w:sz w:val="22"/>
        </w:rPr>
        <w:t>Пункт 7. Правовой анализ</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запросом в ООО «Монтажэнергострой»;</w:t>
      </w:r>
    </w:p>
    <w:p>
      <w:pPr>
        <w:pStyle w:val="Heading3"/>
      </w:pPr>
      <w:r>
        <w:rPr>
          <w:rFonts w:ascii="Times New Roman" w:hAnsi="Times New Roman" w:eastAsia="Times New Roman" w:cs="Times New Roman"/>
          <w:b/>
          <w:i w:val="0"/>
          <w:sz w:val="22"/>
        </w:rPr>
        <w:t>Пункт 8. Правовой анализ</w:t>
      </w:r>
    </w:p>
    <w:p>
      <w:pPr>
        <w:spacing w:after="120" w:before="160"/>
        <w:ind w:firstLine="720"/>
        <w:jc w:val="both"/>
      </w:pPr>
      <w:r>
        <w:rPr>
          <w:rFonts w:ascii="Times New Roman" w:hAnsi="Times New Roman" w:eastAsia="Times New Roman" w:cs="Times New Roman"/>
          <w:b/>
          <w:i w:val="0"/>
          <w:sz w:val="22"/>
        </w:rPr>
        <w:t xml:space="preserve">8. </w:t>
      </w:r>
      <w:r>
        <w:rPr>
          <w:rFonts w:ascii="Times New Roman" w:hAnsi="Times New Roman" w:eastAsia="Times New Roman" w:cs="Times New Roman"/>
          <w:b w:val="0"/>
          <w:i w:val="0"/>
          <w:sz w:val="22"/>
        </w:rPr>
        <w:t>ответом ООО «Монтажэнергострой» с приложением;</w:t>
      </w:r>
    </w:p>
    <w:p>
      <w:pPr>
        <w:pStyle w:val="Heading3"/>
      </w:pPr>
      <w:r>
        <w:rPr>
          <w:rFonts w:ascii="Times New Roman" w:hAnsi="Times New Roman" w:eastAsia="Times New Roman" w:cs="Times New Roman"/>
          <w:b/>
          <w:i w:val="0"/>
          <w:sz w:val="22"/>
        </w:rPr>
        <w:t>Пункт 9. Правовой анализ</w:t>
      </w:r>
    </w:p>
    <w:p>
      <w:pPr>
        <w:spacing w:after="120" w:before="160"/>
        <w:ind w:firstLine="720"/>
        <w:jc w:val="both"/>
      </w:pPr>
      <w:r>
        <w:rPr>
          <w:rFonts w:ascii="Times New Roman" w:hAnsi="Times New Roman" w:eastAsia="Times New Roman" w:cs="Times New Roman"/>
          <w:b/>
          <w:i w:val="0"/>
          <w:sz w:val="22"/>
        </w:rPr>
        <w:t xml:space="preserve">9. </w:t>
      </w:r>
      <w:r>
        <w:rPr>
          <w:rFonts w:ascii="Times New Roman" w:hAnsi="Times New Roman" w:eastAsia="Times New Roman" w:cs="Times New Roman"/>
          <w:b w:val="0"/>
          <w:i w:val="0"/>
          <w:sz w:val="22"/>
        </w:rPr>
        <w:t>выпиской из ЕГРЮЛ в отношении ООО «Монтажэнергострой»;</w:t>
      </w:r>
    </w:p>
    <w:p>
      <w:pPr>
        <w:pStyle w:val="Heading3"/>
      </w:pPr>
      <w:r>
        <w:rPr>
          <w:rFonts w:ascii="Times New Roman" w:hAnsi="Times New Roman" w:eastAsia="Times New Roman" w:cs="Times New Roman"/>
          <w:b/>
          <w:i w:val="0"/>
          <w:sz w:val="22"/>
        </w:rPr>
        <w:t>Пункт 10. Правовой анализ</w:t>
      </w:r>
    </w:p>
    <w:p>
      <w:pPr>
        <w:spacing w:after="120" w:before="160"/>
        <w:ind w:firstLine="720"/>
        <w:jc w:val="both"/>
      </w:pPr>
      <w:r>
        <w:rPr>
          <w:rFonts w:ascii="Times New Roman" w:hAnsi="Times New Roman" w:eastAsia="Times New Roman" w:cs="Times New Roman"/>
          <w:b/>
          <w:i w:val="0"/>
          <w:sz w:val="22"/>
        </w:rPr>
        <w:t xml:space="preserve">10. </w:t>
      </w:r>
      <w:r>
        <w:rPr>
          <w:rFonts w:ascii="Times New Roman" w:hAnsi="Times New Roman" w:eastAsia="Times New Roman" w:cs="Times New Roman"/>
          <w:b w:val="0"/>
          <w:i w:val="0"/>
          <w:sz w:val="22"/>
        </w:rPr>
        <w:t>уведомлением о времени и месте составления протокола об административном правонарушении;</w:t>
      </w:r>
    </w:p>
    <w:p>
      <w:pPr>
        <w:pStyle w:val="Heading3"/>
      </w:pPr>
      <w:r>
        <w:rPr>
          <w:rFonts w:ascii="Times New Roman" w:hAnsi="Times New Roman" w:eastAsia="Times New Roman" w:cs="Times New Roman"/>
          <w:b/>
          <w:i w:val="0"/>
          <w:sz w:val="22"/>
        </w:rPr>
        <w:t>Пункт 11. Правовой анализ</w:t>
      </w:r>
    </w:p>
    <w:p>
      <w:pPr>
        <w:spacing w:after="120" w:before="160"/>
        <w:ind w:firstLine="720"/>
        <w:jc w:val="both"/>
      </w:pPr>
      <w:r>
        <w:rPr>
          <w:rFonts w:ascii="Times New Roman" w:hAnsi="Times New Roman" w:eastAsia="Times New Roman" w:cs="Times New Roman"/>
          <w:b/>
          <w:i w:val="0"/>
          <w:sz w:val="22"/>
        </w:rPr>
        <w:t xml:space="preserve">11. </w:t>
      </w:r>
      <w:r>
        <w:rPr>
          <w:rFonts w:ascii="Times New Roman" w:hAnsi="Times New Roman" w:eastAsia="Times New Roman" w:cs="Times New Roman"/>
          <w:b w:val="0"/>
          <w:i w:val="0"/>
          <w:sz w:val="22"/>
        </w:rPr>
        <w:t>почтовыми уведомлениями о вручении;</w:t>
      </w:r>
    </w:p>
    <w:p>
      <w:pPr>
        <w:pStyle w:val="Heading3"/>
      </w:pPr>
      <w:r>
        <w:rPr>
          <w:rFonts w:ascii="Times New Roman" w:hAnsi="Times New Roman" w:eastAsia="Times New Roman" w:cs="Times New Roman"/>
          <w:b/>
          <w:i w:val="0"/>
          <w:sz w:val="22"/>
        </w:rPr>
        <w:t>Пункт 12. Выводы</w:t>
      </w:r>
    </w:p>
    <w:p>
      <w:pPr>
        <w:spacing w:after="120" w:before="160"/>
        <w:ind w:firstLine="720"/>
        <w:jc w:val="both"/>
      </w:pPr>
      <w:r>
        <w:rPr>
          <w:rFonts w:ascii="Times New Roman" w:hAnsi="Times New Roman" w:eastAsia="Times New Roman" w:cs="Times New Roman"/>
          <w:b/>
          <w:i w:val="0"/>
          <w:sz w:val="22"/>
        </w:rPr>
        <w:t xml:space="preserve">12. </w:t>
      </w:r>
      <w:r>
        <w:rPr>
          <w:rFonts w:ascii="Times New Roman" w:hAnsi="Times New Roman" w:eastAsia="Times New Roman" w:cs="Times New Roman"/>
          <w:b w:val="0"/>
          <w:i w:val="0"/>
          <w:sz w:val="22"/>
        </w:rPr>
        <w:t>уведомлением о времени и месте рассмотрения дела об административном правонарушении; Оценивая каждое доказательство с точки зрения относимости, допустимости и достоверности, а все их в совокупности с точки зрения достаточности для разрешения дела, суд оснований не доверять им не находит. Процессуальных нарушений при составлении письменных доказательств, которые послужили бы основанием к прекращению производства по делу не допущено. Письменные доказательства являются допустимыми и могут быть положены в основу вынесенного постановления. В силу изложенного, суд полагает, что должностное лицо, вынесшее постановление по делу об административном правонарушении, пришло к правильному выводу о нарушении в ООО «Монтажэнергострой» установленного порядка об исполнении обязательств по выплате заработной платы (вознаграждения) иностранному гражданину - высококвалифицированному специалисту и, как следствие, наличию в действиях общества состава административного правонарушения, предусмотренного ч.5 ст. 18.15 КоАП РФ. Доводы жалобы о введении в заблуждение работника общества сотрудником УВМ ГУ МВД России по Нижегородской области не могут быть приняты во внимание, поскольку данные факты не подтверждаются объективными доказательствами. Кроме того, обществом в установленном законом порядке не оспаривались действия сотрудника УВМ ГУ МВД России по Нижегородской области, отказавшегося принимать уведомления. Также суд не находит оснований для признания деяния малозначительным по смыслу ст. 2.9 КоАП РФ. К моменту вынесения постановления по делу об административном правонарушении установленный ч.1 ст. 4.5 КоАП РФ срок привлечения к административной ответственности - один год - не истек. В соответствии с ч.3.2 ст. 4.1 КоАП РФ, при наличии исключительных обстоятельств, связанных с характером совершенного административного правонарушения и его последствиями, имущественным и финансовым положением привлекаемого к административной ответственности юридического лица, судья, орган, должностное лицо, рассматривающие дела об административных правонарушениях либо жалобы, протесты на постановления и (или) решения по делам об административных правонарушениях, могут назначить наказание в виде административного штрафа в размере менее минимального размера административного штрафа, предусмотренного соответствующей статьей или частью статьи раздела II настоящего Кодекса, в случае, если минимальный размер административного штрафа для юридических лиц составляет не менее ста тысяч рублей. Принимая во внимание, что фактически заработная плата иностранному гражданину - высококвалифицированному специалисту выплачивалась, суд приходит к выводу о наличии оснований для применения положений ч.ч. 3.2, 3.3 ст. 4.1 КоАП РФ при назначении обществу наказания. Учитывая изложенное, а также положения ч.ч. 3.2, 3.3 ст. 4.1 КоАП РФ при отсутствии обстоятельств, отягчающих административную ответственность, суд приходит к выводу о возможном снижении размера наложенного на общество административного штрафа до 200000 рублей. На основании изложенного, руководствуясь ст.ст. 30.5 - 30.8 Кодекса РФ об административных правонарушениях, суд РЕШИЛ: Постановление заместителя начальника УВМ ГУ МВД России по Нижегородской области от ДД.ММ.ГГГГ в отношении ООО «Монтажэнергострой» по делу об административном правонарушении, предусмотренном ч.5 ст. 18.15 КоАП РФ, изменить: снизить размер назначенного административного штрафа до 200000 (двести тысяч) рублей. В остальной части постановление заместителя начальника УВМ ГУ МВД России по Нижегородской области от ДД.ММ.ГГГГ в отношении ООО «Монтажэнергострой» по делу об административном правонарушении, предусмотренном ч.5 ст. 18.15 КоАП РФ оставить без изменения, жалобу защитника ООО «Монтажэнергострой» без удовлетворения. Настоящее решение может быть обжаловано в Нижегородский областной суд через Сормовский районный суд г.Нижнего Новгорода в течение 10 дней со дня получения копии решения. Судья А.А. Нутрик Копия верна Подлинник документа находится в материалах дела № 12-14/2020 (УИД 52RS0006-01-2019-002201-74) в Сормовском районном суде г.Нижнего Новгорода. Судья А.А. Нутрик Суд: Сормовский районный суд г. Нижний Новгород (Нижегородская область) (подробнее) Судьи дела: Нутрик Александр Александрович (судья) (подробнее) Последние документы по делу: Решение от 16 ноября 2020 г. по делу № 12-14/2020 Решение от 24 сентября 2020 г. по делу № 12-14/2020 Решение от 18 сентября 2020 г. по делу № 12-14/2020 Решение от 25 мая 2020 г. по делу № 12-14/2020 Решение от 18 мая 2020 г. по делу № 12-14/2020 Решение от 13 апреля 2020 г. по делу № 12-14/2020 Решение от 27 февраля 2020 г. по делу № 12-14/2020 Решение от 19 февраля 2020 г. по делу № 12-14/2020 Решение от 19 февраля 2020 г. по делу № 12-14/2020 Решение от 18 февраля 2020 г. по делу № 12-14/2020 Решение от 17 февраля 2020 г. по делу № 12-14/2020 Решение от 13 февраля 2020 г. по делу № 12-14/2020 Решение от 13 февраля 2020 г. по делу № 12-14/2020 Решение от 6 февраля 2020 г. по делу № 12-14/2020 Решение от 6 февраля 2020 г. по делу № 12-14/2020 Решение от 5 февраля 2020 г. по делу № 12-14/2020 Решение от 26 января 2020 г. по делу № 12-14/2020 Решение от 20 января 2020 г. по делу № 12-14/2020 Решение от 15 января 2020 г. по делу № 12-14/2020 Решение от 15 января 2020 г. по делу № 12-14/2020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