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Пригласить защитника для участия в рассмотрении дела судом апелляционной инстанции. В случае неявки приглашенного защитника в течение 5 суток суд в соответствии с ч.3 ст. 49 УПК РФ вправе предложить пригласить другого защитника, а в случае отказа – принять меры по назначению защитника по своему усмотрению 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Отказаться от защитника. Отказ от защитника в соответствии с ч.3 ст. 52 УПК РФ не лишает права в дальнейшем ходатайствовать о допуске защитника к участию в производстве по уголовному делу; 3.Ходатайствовать перед судом о назначении защитника, в т.ч. бесплатно в случаях, предусмотренных УПК РФ. В соответствии с п.5 ч.2 ст. , ст. 132 УПК РФ суммы, выплаченные адвокату за оказание юридической помощи в случае его участия по назначению, относятся к процессуальным издержкам, которые суд вправе взыскать с осужденного(ой). Судья Н.А.Митусов Суд: Хохольский районный суд (Воронежская область) (подробнее) Иные лица: прокурор Хохольского района (подробнее) Судьи дела: Митусов Николай Алексеевич (судья) (подробнее) Последние документы по делу: Приговор от 20 июля 2020 г. по делу № 1-10/2020 Приговор от 18 мая 2020 г. по делу № 1-10/2020 Приговор от 18 мая 2020 г. по делу № 1-10/2020 Приговор от 20 февраля 2020 г. по делу № 1-10/2020 Приговор от 17 февраля 2020 г. по делу № 1-10/2020 Приговор от 16 февраля 2020 г. по делу № 1-10/2020 Приговор от 10 февраля 2020 г. по делу № 1-10/2020 Приговор от 7 февраля 2020 г. по делу № 1-10/2020 Приговор от 6 февраля 2020 г. по делу № 1-10/2020 Постановление от 6 февраля 2020 г. по делу № 1-10/2020 Приговор от 6 февраля 2020 г. по делу № 1-10/2020 Приговор от 5 февраля 2020 г. по делу № 1-10/2020 Приговор от 3 февраля 2020 г. по делу № 1-10/2020 Приговор от 29 января 2020 г. по делу № 1-10/2020 Приговор от 22 января 2020 г. по делу № 1-10/2020 Приговор от 20 января 2020 г. по делу № 1-10/2020 Приговор от 13 января 2020 г. по делу № 1-10/2020 Показать все документы по этому делу Судебная практика по: По кражам Судебная практика по применению нормы ст. 158 УК РФ Разбой Судебная практика по применению нормы ст. 162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