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7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 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 При продаже товаров по образцам,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 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 Продолжительность срока годности товара должна соответствовать обязательным требованиям к безопасности товара.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 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 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 Сроки, указанные в настоящей статье, доводятся до сведения потребителя в информации о товаре, предоставляемой потребителю в соответствии со статьей 10 настоящего Закона.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статьей 18 настоящего Закона, если докажет, что недостатки товара возникли до его передачи потребителю или по причинам, возникшим до этого момента.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пунктом 3 статьи 18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 На основании п. 3 ст. Закона РФ «О защите прав потребителей»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 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 Судом установлено, что 20.06.2023 между ООО «ВыборСтройШесть» (продавец) и ФИО1 (покупатель) был заключен договор купли-продажи квартиры, согласно которому объектом покупки является квартира № (№), площадью 60,2 кв.м, расположенная на 17 этаже многоквартирного жилого дома по адресу: &lt;адрес&gt;. Стоимость квартиры оценена сторонами в размере 4 719 600,00 рублей. Управлением Росреестра по Воронежской области было зарегистрировано право собственности ФИО1 на указанное жилое помещение, что подтверждается выпиской из ЕГРН. Застройщиком многоквартирного жилого дома по адресу: &lt;адрес&gt;, является ответчик ООО СЗ «ВыборСтрой Шесть», что подтверждается разрешением на строительство и разрешением на ввод объекта в эксплуатацию. 19.06.2024 истцом в адрес ООО СЗ «ВыборСтрой Шесть» была направлена претензия о возмещении расходов на устранение недостатков товара, которая была вручена адресату 24.06.2024, но разрешена во внесудебном порядке не была. Определением Коминтерновского районного суда города Воронежа от 02.09.2024 по гражданскому делу по ходатайству представителя ответчика была назначена судебная экспертиза, производство которой поручено ООО «НЦ ФОРЕНЗИКА», на разрешение эксперта которого поставлены следующие вопросы:</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Имеются ли в квартире, расположенной по адресу: &lt;адрес&gt;, недостатки в выполненных застройщиком строительных и отделочных работах, а также иные недостатки?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Если указанные недостатки имеются, каковы причины их возникновения, являются ли они следствием нарушения застройщиком условий договора, требований технических регламентов, проектной документации, градостроительных регламентов, иных действующих строительных норм и правил, а также обязательных требований?</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Какова стоимость работ и материалов по устранению недостатков в выполненных застройщиком строительных и отделочных работах в квартире, расположенной по адресу: &lt;адрес&gt;?</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Привели ли имеющиеся недостатки к ухудшению качества квартиры, расположенной по адресу: &lt;адрес&gt;, и (или) делают ее непригодной для предусмотренного договором использования?</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Какова стоимость работ и материалов по устранению недостатков в выполненных застройщиком строительных и отделочных работах в квартире, расположенной по адресу: &lt;адрес&gt;, приведших к ухудшению качества квартиры? Согласно заключению судебной экспертизы ООО «НЦ ФОРЕНЗИКА» №2024-1022 от 28.12.2024 эксперт ФИО2 пришел к следующим выводам по поставленным судом вопросам: В выполненных застройщиком строительных и отделочных работах в помещениях квартиры №(№), расположенной в многоквартирном доме по адресу: &lt;адрес&gt;, имеются недостатки (дефекты) и нарушения строительных норм и правил, обычно предъявляемых к качеству строительных и отделочных работ, а именно:</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Требований п.6.6.3 ГОСТ 12504-2015 «Панели стеновые внутренние бетонные и железобетонные для жилых и общественных зданий. Общие технические условия (Переиздание)» – при обследовании стен двухметровой рейкой, на отдельных стенах помещений квартиры выявлены отклонения от прямолинейности поверхностей железобетонных панелей, превышающие допустимые предельные отклонения в 5 мм. (для панелей диной свыше 2,5 м. до 4,0 м.), а именно: – в прихожей – на нижней части стены (стена с входным дверным блоком) отклонение глубиной 9 мм, на участке площадью 0,77 кв.м.; – в коридоре (смежном с ванной комнатой и помещением кухни) – на нижней части стены (стена между коридором и ванной комнатой) отклонения глубиной 8 мм. на участке площадью 1,32кв.м.; – в помещении кухни – на высоту стены (стена справа при входе в помещение) отклонения глубиной 6 мм. на участке площадью 3,15 кв.м.; – в жилой комнате (гостиная) – на высоту стены (стена справа при входе в помещение) отклонения глубиной 8 мм. на участке площадью 3,04 кв.м.; – в жилой комнате (спальня) – на высоту стены (стена справа при входе в помещение) отклонения глубиной 6 мм. на участке площадью 1,80 кв.м.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Требований п.8.14.1 (Табл. 8.15) СП 71.13330.2017 «Изоляционные и отделочные покрытия. Актуализированная редакция СНиП 3.04.01-87» – при обследовании полов в помещении квартиры, выявлены просветы между двухметровой рейкой и поверхностью пола, превышающие допустимые предельные отклонения в 2 мм., а именно: – в коридоре (смежном с ванной комнатой и помещением кухни)– просветы глубиной 4 мм., на площади 0,54 кв.м.; – в помещении из кухни - просветы глубиной 6 мм., на площади 5,40 кв.м.; – в коридоре (смежном с жилыми комнатами (гостиная и спальня) и санузлом - просветы глубиной 5 мм., на площади 0,27 кв.м.; – в жилой комнате (гостиная) – просветы глубиной 5 мм., на площади 0,36 кв.м.</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Требований п.4.3.3.2. ГОСТ 28786-2019 «Блоки дверные деревянные и комбинированные. Определение свойств в различных климатических условиях (с Поправкой)» – при измерительном контроле межкомнатных дверных блоков квартиры выявлены отклонения от вертикали, превышающие допустимые предельные отклонения в 2,0 мм. на 1 м. длины блока, а именно: – в санузле (гостиная) – отклонение дверного блока от вертикали составляет 4 мм. на 1 метр (8 мм. на высоту блока); – в жилой комнате (спальня) – отклонение дверного блока от вертикали составляет 3 мм. на 1 метр (6 мм. на высоту блока);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Требований п.Г.6 Приложения «Г» ГОСТ 31173-2016 «Блоки дверные стальные. Технические условия» – при измерительном контроле входного металлического дверного блока квартиры выявлены отклонения от вертикали, превышающие допустимые предельные отклонения в 1,5 мм. на 1 м. длины блока – отклонение дверного блока от вертикали составляет 2,5 мм. на 1 метр (5 мм. на высоту блока).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Требований п.5.1.6. ГОСТ 23166-99 «Блоки оконные. Общие технические условия» – при обследовании установлено, что оконные блоки в жилых комнатах (гостиная и спальня) имеют по две глухие створки из трёх.</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Требований Табл. Ж1 приложения Ж ГОСТ 34378-2018 «Конструкции ограждающие светопрозрачные. Окна и двери. Производство монтажных работ. контроль и требования к результатам работ» - при измерительном контроле балконного (дверного) блока в помещении кухни квартиры, выявленные отклонения от вертикали в 5 мм. на высоту изделия, превышающие допустимые предельные отклонения в 3,0 мм на высоту изделия.</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Требований п.5.3.2.2. ГОСТ Р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остекление лоджии квартиры имеет три глухие створки из четырёх.</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Требований п.5.3.2.5. (в) ГОСТ Р 56926-2016 «Конструкции оконные и балконные различного функционального назначения для жилых зданий. Общие технические условия» – при обследовании установлено, что ограждение лоджии квартиры закреплено непосредственно к светопрозрачной алюминиевой конструкции с помощью самонарезающих винтов. Недостатки (дефекты) в строительных и отделочных работах в помещениях квартиры, расположенной в многоквартирном доме по адресу: &lt;адрес&gt;, выявленные экспертом в ходе натурного осмотра и, описанные в исследовании по первому вопросу, носят производственный характер (производственные дефекты), являются следствием несоблюдения застройщиком требований нормативно-технической документации (СНиП, СП и ГОСТ). Выявленные недостатки не являются следствием нарушения застройщиком условиям договора, требований технических регламентов, проектной документации, градостроительных регламентов, а также иных обязательных требований (являются отступлением от требований, применяемых на добровольной основе). На основании расчета, приведенного в Приложении к экспертному заключению (Локальная смета №1), стоимость работ и материалов, необходимых для устранения недостатков в выполненных застройщиком строительных и отделочных работах в квартире, расположенной по адресу: &lt;адрес&gt;, на момент производства экспертизы с учетом НДС составляет 365871,95 рублей. Недостатки (дефекты) в строительных и отделочных работах в помещениях квартиры, расположенной в многоквартирном доме по адресу: &lt;адрес&gt;, выявленные экспертом в ходе натурного осмотра и, описанные в исследовательской части по первому вопросу данного заключения, являются следствием несоблюдения застройщиком требований нормативно-технической документации (СНиП, СП и ГОСТ), в связи с чем наличие данных недостатков (дефектов) приводит к ухудшению качества квартиры, расположенной по адресу: &lt;адрес&gt;. В ходе проведенного осмотра установлено, что квартира, расположенная по адресу: &lt;адрес&gt;, используется по ее функциональному назначению – для проживания. Выявленные недостатки не создают собственникам квартиры препятствий в пользовании квартирой, не оказывают влияние на параметры внутреннего микроклимата: освещенность, воздухообмен, температуру в помещениях, при нарушении которых условия для проживания в квартире были бы ухудшены и невозможны. На основании вышеизложенного следует сделать вывод о том, что выявленные недостатки в квартире, расположенной по адресу: &lt;адрес&gt;, не сделали ее не пригодной для предусмотренного договором использования. Стоимость работ и материалов по устранению недостатков в выполненных застройщиком строительных и отделочных работах в квартире, расположенной по адресу: &lt;адрес&gt;, приведших к ухудшению качества квартиры, указана в исследовательской части по третьему вопросу данного заключения, которая согласно расчета, приведенного в Приложении к экспертному заключению (Локальная смета №1), составляет 365 871,95 рублей. По смыслу положений ст. 86 ГПК РФ экспертное заключение является одним из важных доказательств по делу, поскольку оно отличается использованием специальных познаний и научными методами исследования, тем не менее, суд при наличии в материалах рассматриваемого дела заключения эксперта, не может пренебрегать иными добытыми по делу доказательствами, в связи с чем, законодателем в ст. 67 ГПК РФ закреплено правило о том, что ни одно доказательство не имеет для суда заранее установленной силы, а в положениях ч. 3 ст. 86 ГПК РФ отмечено, что заключение эксперта для суда необязательно и оценивается наряду с другими доказательствами. Суд оценивает экспертное заключение с точки зрения соблюдения процессуального порядка назначения экспертизы, соблюдения процессуальных прав лиц, участвующих в деле, соответствия заключения поставленным вопросам, его полноты, обоснованности и достоверности в сопоставлении с другими доказательствами по делу. Оценивая полученное заключение судебной экспертизы, сопоставив его с совокупностью других доказательств по гражданскому делу, суд не находит оснований не доверять выводам эксперта, предупрежденного об уголовной ответственности, имеющих надлежащий опыт проведения такого рода экспертиз и квалификацию. Выводы заключения согласуются с иными имеющимися в материалах гражданского дела доказательствами, что позволяет суду положить его в основу судебного решения. Доказательств, указывающих на недостоверность проведенной экспертизы, либо ставящих под сомнение ее выводы, участниками процесса не представлено, а проведенные ранее судебные экспертизы имеют установленные изъяны, что не позволяет суду положить их в основу судебного решения. Суд учитывает, что после проведения судебной экспертизы какие-либо новые документы технического или иного характера, содержание которых способно повлиять на выводы экспертов, в материалы дела не представлялись. С учетом изложенного, суд считает возможным принять заключение судебной экспертизы в качестве надлежащего доказательства. В рамках рассмотрения настоящего дела юридически значимым обстоятельством является отнесение требований, упомянутых в калькуляции стандартов и сводов правил, нарушенных ответчиком, к тем требованиям, которые обычно предъявляются к качеству соответствующих работ при строительстве квартиры. Исходя из положений п. 3.23 «СП 48.13330.2019. Свод правил. Организация строительства. СНиП 12-01-2004», утвержденных Приказом Минстроя России от 24.12.2019 № 861/пр, к участникам строительства относятся застройщик, технический заказчик, генеральная подрядная организация, подрядные организации, эксплуатирующие организации, органы государственного строительного надзора, проектные организации и т.д.). Согласно п. 4.2. СП 48.13330.2019, действия участников строительства, работы, выполняемые в процессе строительства, реконструкции, капитального ремонта, сноса, их результаты должны обеспечивать соответствие завершенных строительством объектов утвержденной проектной документации, ограничениям и требованиям, установленным разрешенным использованием земельного участка (градостроительного плана земельного участка), требованиям технических регламентов и при этом обеспечивать безопасность для третьих лиц и окружающей среды, выполнение требований безопасности труда, сохранности объектов культурного наследия. На основании пункта 1 статьи Закона Российской Федерации от 7 февраля 1992 г. № 2300-1 «О защите прав потребителей»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Условиями договора купли-продажи не предусмотрено, что при выполнении застройщиком работ допускаются строительные дефекты или иные отступления. В соответствии с пунктом 12 части 1 статьи 2 Федерального закона от 29 июня 2015 г. № 162-ФЗ «О стандартизации в Российской Федерации» (далее по тексту – Федеральный закон № 162-ФЗ) стандарт организации - документ по стандартизации, утвержденный юридическим лицом, в том числе государственной корпорацией, саморегулируемой организацией, а также индивидуальным предпринимателем для совершенствования производства и обеспечения качества продукции, выполнения работ, оказания услуг. В соответствии со статьей 21 Федерального закона № 162-ФЗ стандарты организаций разрабатываются организациями самостоятельно исходя из необходимости их применения для обеспечения целей, указанных в статье 3 настоящего Федерального закона (ч.1). Стандарты организаций и технические условия разрабатываются с учетом соответствующих документов национальной системы стандартизации (ч.2). Технические условия разрабатываются изготовителем и (или) исполнителем и применяются в соответствии с условиями, установленными в договорах (контрактах) (ч.3). Порядок разработки, утверждения, учета, изменения, отмены и применения стандартов организаций и технических условий устанавливается организациями самостоятельно с учетом применимых принципов, предусмотренных статьей 4 настоящего Федерального закона (ч.4). Проект стандарта организации, а также проект технических условий перед их утверждением может представляться в соответствующий технический комитет по стандартизации или проектный технический комитет по стандартизации для проведения экспертизы, по результатам которой технический комитет по стандартизации или проектный технический комитет по стандартизации готовит соответствующее заключение (ч.5). Одними из целей и принципов стандартизации, является повышение качества продукции, выполнения работ, оказания услуг и повышение конкурентоспособности продукции российского производства (пункт 6 части 1 статьи 3 Федерального закона N 162-ФЗ), добровольность применения документов по стандартизации, соответствие документов по стандартизации действующим на территории Российской Федерации техническим регламентам, непротиворечивость национальных стандартов друг другу (пункты 1, 8, 9 статьи 4 Федерального закона № 162-ФЗ). Таким образом, судом установлено, что требования, упомянутые в экспертном заключении стандартов и сводов правил, нарушенных ответчиком, являются теми требованиями, которые обычно предъявляются к качеству соответствующих работ при строительстве квартиры. В соответствии со ст. , 56 ГПК РФ , гражданский процесс носит состязательный характер, и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Как разъяснил Пленум Верховного Суда РФ в пункте 28 Постановления «О рассмотрении судами гражданских дел по спорам о защите прав потребителей» № 17 от 28.06.2012, при разрешении требований потребителей необходимо учитывать, что бремя доказывания обстоятельств, освобождающих от ответственности за неисполнение либо ненадлежащее исполнение обязательства, в том числе и за причинение вреда, лежит на продавце (изготовителе, исполнителе, уполномоченной организации или уполномоченном индивидуальном предпринимателе, импортере) (пункт 4 статьи , пункт 5 статьи , пункт 5 статьи 23.1 , пункт 6 статьи Закона о защите прав потребителей, статья 1098 ГК РФ ). Ответчиком в ходе рассмотрения дела не представлено каких-либо надлежащих доказательств, опровергающих наличие указанных выше недостатков спорного жилого помещения, свою вину в их образовании, а также наличие причинно-следственной связи между названными недостатками и ухудшением качества квартиры. Таким образом, суд, проанализировав установленные обстоятельства, оценив доказательства по гражданскому делу в их совокупности, руководствуясь указанными нормами материального права и заключением судебной экспертизы, приходит к выводу об установлении факта наличия недостатков в выполненных застройщиком ООО СЗ «ВыборСтрой Шесть» работах при строительстве квартиры по адресу: &lt;адрес&gt;, в рамках установленного законом гарантийного срока, стоимость устранения которых составляет 365871,95рублей, что свидетельствует об обоснованности заявленных исковых требований в данной части. В силу статьи Гражданского кодекса Российской Федерации срок удовлетворения требования потребителя исчисляется в календарных днях. Частью 1 статьи Закона РФ от 07.02.1992 года № 2300-1 «О защите прав потребителей» предусмотрено, что за нарушение предусмотренных статьями 20, 21 и 22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 Истец просит взыскать с ответчика неустойку за период с 05.07.2024 по 07.02.2025 в размере 797 600,87 рублей исходя из следующего расчета: 365 871,95 х 1% х 218 дней = 797 600,87 рублей. Суд считает расчет истца арифметически верным, однако, при рассмотрении требований о взыскании неустойки исходит из следующего. Верховным Судом Российской Федерации в пункте 65 постановления Пленума от 24.03.2016 №7 «О применении судами некоторых положений Гражданского кодекса Российской Федерации об ответственности за нарушение обязательств» разъяснено, что по смыслу статьи Гражданского кодекса Российской Федерации,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Законом или договором может быть установлен более короткий срок для начисления неустойки, либо ее сумма может быть ограничена. Присуждая неустойку, суд по требованию истца в резолютивной части решения указывает сумму неустойки, исчисленную на дату вынесения решения и подлежащую взысканию, а также то, что такое взыскание производится до момента фактического исполнения обязательства. Расчет суммы неустойки, начисляемой после вынесения решения, осуществляется в процессе исполнения судебного акта судебным приставом-исполнителем, а в случаях, установленных законом, – иными органами, организациями, в том числе органами казначейства, банками и иными кредитными организациями, должностными лицами и гражданами (часть 1 статьи 7, статья 8, пункт 16 части 1 статьи 64 и часть 2 статьи 70 Закона об исполнительном производстве). При этом день фактического исполнения нарушенного обязательства, в частности, день уплаты задолженности кредитору, включается в период расчёта неустойки. Принимая во внимание, что ответчиком требование потребителя об устранении недостатков по настоящее время не исполнено, требование истца о присуждении неустойки по день фактического исполнения этого обязательства подлежит удовлетворению. Вместе с тем, в соответствии со статей Гражданского Кодекса Российской Федерации, неустойкой (пени, штрафом)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 Неустойка является одним из способов обеспечения исполнения обязательств, средством возмещения потерь кредитора, вызванных нарушением должником своих обязательств. В соответствии со ст. ГК Российской Федерации, если подлежащая уплате неустойка явно несоразмерна последствиям нарушения обязательства, суд вправе уменьшить неустойку. Следовательно, при оценке степени соразмерности неустойки последствиям нарушения кредитного обязательства суд должен исходить из того, что ставка рефинансирования, являясь единой учетной ставкой Центрального банка Российской Федерации, по существу, представляет собой наименьший размер имущественной ответственности за неисполнение или ненадлежащее исполнение денежного обязательства. Таким образом, позиция законодателя направленная на обеспечение баланса интереса участников правоотношений долевого участия и согласуется с основополагающими принципами гражданского законодательства, изложенными в пунктах 3, 4 статьи 1 ГК РФ , согласно которым никто не вправе извлекать преимущества из своего незаконного поведения, а также то, что неправомерное пользование чужими денежными средствами не должно быть более выгодным для должника, чем условия правомерного пользования. В пункте 80 постановления Постановление Пленума Верховного Суда РФ от 24.03.2016 года № 7 «О применении судами некоторых положений Гражданского кодекса Российской Федерации об ответственности за нарушение обязательств» разъяснено, что если заявлены требования о взыскании неустойки, установленной договором в виде сочетания штрафа и пени за одно нарушение, а должник просит снизить ее размер на основании статьи 333 ГК РФ , суд рассматривает вопрос о соразмерности неустойки последствиям нарушения обязательств исходя из общей суммы штрафа и пени. Суд в соответствии со статьей 333 ГК РФ вправе уменьшить размер неустойки, если она явно несоразмерна последствиям нарушения обязательств. При этом судом должны быть приняты во внимание степень выполнения обязательства должником, имущественное положение истца, а также не только имущественный, но и всякий иной заслуживающий уважения интерес ответчика. Согласно части 2 пункта 34 Постановления Пленума Верховного Суда Российской Федерации от 28 июня 2012 года № 17 «О рассмотрении судами гражданских дел по спорам о защите прав потребителей», применение ст. ГК Российской Федерации, по делам о защите прав потребителей возможно в исключительных случаях и по заявлению ответчика с обязательным указанием мотивов, по которым суд полагает, что уменьшение размера неустойки является допустимым. Исходя из смысла приведенных выше правовых норм и разъяснений, а также принципа осуществления гражданских прав своей волей и в своем интересе (ст. 1 ГК РФ ), размер неустойки может быть снижен судом на основании ст. Гражданского кодекса РФ и только при наличии соответствующего заявления со стороны ответчика. При этом ответчик должен представить доказательства явной несоразмерности неустойки последствиям нарушения обязательства, в частности, что возможный размер убытков кредитора, которые могли возникнуть вследствие нарушения обязательства, значительно ниже начисленной неустойки. Кроме того, снижение размера неустойки не должно вести к необоснованному освобождению должника от ответственности за просрочку исполнения обязательства. В ходе судебного разбирательства стороной ответчика было заявлено о снижении размера неустойки и штрафных санкций, в связи с их явной несоразмерностью последствиям нарушения обязательства. Суд соглашается с доводами ответчика и считает чрезмерной предъявленную к взысканию неустойку в размере 797600,87 рублей, которая значительно превосходит определенную судом стоимость устранения строительных недостатков квартиры, в связи с чем полагает возможным снизить размер неустойки до 250000,00 рублей. Таким образом, с ООО СЗ «ВыборСтрой Шесть» в пользу истца подлежит взысканию неустойка за период с 05.07.2024 по 07.02.2025 в размере 250000,00 рублей. Указанный выше размер неустойки соблюдает баланс интересов сторон настоящего спора, восстанавливает нарушенные права истца и не отразится негативно на производственной деятельности ответчика. Ответчик, возражая против удовлетворения требования о взыскании неустойки, помимо просьбы о ее снижении, ссылается на действие Постановления Правительства РФ № 326 от 18.03.2024, устанавливающего мораторий на применение финансовых санкций к застройщикам. Так, указанным Постановлением Правительства РФ установлены особенности применения неустойки (штрафа, пени), иных финансовых санкций, а также других мер ответственности за неисполнение или ненадлежащее исполнение обязательств по договорам участия в долевом строительстве, установленных законодательством о долевом строительстве. Вместе с тем, квартира истцом была приобретена на основании договора купли-продажи и указанное нормативное регулирование не подлежит применению к правоотношениям сторон спора. Таким образом, требование истца о начислении неустойки по день фактического исполнения обязательств ответчиком суд считает обоснованными, в связи с чем неустойка подлежит взысканию за заявленный истцом период с 08.02.2025 по день фактического исполнения обязательства в размере 1% от стоимости устранения недостатков. Статьей Закон РФ от 07.02.1992 года № 2300- «О защите прав потребителей» установлено, что моральный вред, причиненный потребителю вследствие нарушения изготовителем (исполнителем,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 Компенсация морального вреда осуществляется независимо от возмещения имущественного вреда и понесенных потребителем убытков. На основании п. 45 Постановления Пленума Верховного Суда Российской Федерации от 28.06.2012 года № 17 «О рассмотрении судами гражданских дел по спорам о защите прав потребителей» при решении судом вопроса о компенсации потребителю морального вреда достаточным условием для удовлетворения иска является установленный факт нарушения прав потребителя. Размер компенсации морального вреда определяется судом независимо от размера возмещения имущественного вреда, в связи с чем размер денежной компенсации, взыскиваемой в возмещение морального вреда, не может быть поставлен в зависимость от стоимости товара (работы, услуги) или суммы, подлежащей взысканию неустойки. Размер присуждаемой потребителю компенсации морального вреда в каждом конкретном случае должен определяться судом с учетом характера причиненных потребителю нравственных и физических страданий исходя из принципа разумности и справедливости. При рассмотрении настоящего гражданского дела судом был установлен факт нарушения ответчиком прав истца и, учитывая характер допущенных нарушений, с ответчика в пользу истца следует взыскать компенсацию морального вреда в размере 3000,00 рублей. Согласно пункту 6 статьи Закона о защите прав потребителей и разъяснениям, данным Верховным Судом Российской Федерации в постановлении Пленума от 28.06.2012 № 17, при удовлетворении судом требований потребителя в связи с нарушением его прав, установленных Законом о защите прав потребителей, которые не были удовлетворены в добровольном порядке изготовителем (исполнителем, продавцом, уполномоченной организацией или уполномоченным индивидуальным предпринимателем, импортером), суд взыскивает с ответчика в пользу потребителя штраф в размере 50% от суммы, присуждённой судом в пользу потребителя, независимо от того, заявлялось ли такое требование суду. На основании изложенного, суд полагает, что имеются основания для взыскания штрафа с ответчика, предусмотренного п. 6 ст. Закона РФ «О защите прав потребителей», который суд, с учетом просьбы ответчика о его снижении, а также тех обстоятельств, что взысканная неустойка также является по своей сути штрафной санкцией, полагает возможным определить в размере 100000,00рублей. Истец ФИО1 просит суд взыскать с ответчика ООО СЗ «ВыборСтрой Шесть» судебные расходы в размере 25 000 рублей по оплате услуг представителя. В обоснование заявленных требований суду предоставлены следующие доказательства: договор об оказании юридической помощи, заключенный между ФИО1 и Адвокатами Дегтяревым С.П. и Дегтяревой Н.В., квитанции к приходным кассовым ордерам на сумму 25 000,00 рублей. Материалами дела подтверждается, что представителем истца было подготовлено исковое заявление, правовая позиция по делу, отзыв на возражения ответчика. Кроме того, интересы истца в судебном заседании суда первой инстанции 07.02.2025 представляла представитель – адвокат Дегтярева Н.В. Согласно ст. 48 ГПК РФ , граждане вправе вести свои дела в суде лично или через представителей. Личное участие в деле гражданина не лишает его права иметь по этому делу представителя. Дела организаций ведут в суде их органы, действующие в пределах полномочий, предоставленных им федеральным законом, иными правовыми актами или учредительными документами, либо представители. В п. 12 Постановления Пленума Верховного Суда РФ от 21.01.2016 года N 1 "О некоторых вопросах применения законодательства о возмещении издержек, связанных с рассмотрением дела" разъяснено, что расходы на оплату услуг представителя, понесенные лицом, в пользу которого принят судебный акт, взыскиваются судом с другого лица, участвующего в деле, в разумных пределах (ч. 1 ст. 100 ГПК РФ ). Разумными следует считать такие расходы на оплату услуг представителя, которые при сравнимых обстоятельствах обычно взимаются за аналогичные услуги. При определении разумности могут учитываться объем заявленных требований, цена иска, сложность дела, объем оказанных представителем услуг, время, необходимое на подготовку им процессуальных документов, продолжительность рассмотрения дела и другие обстоятельства (п.13 Постановление Пленума Верховного Суда РФ от 21.01.2016 N 1 "О некоторых вопросах применения законодательства о возмещении издержек, связанных с рассмотрением дела"). Согласно п. 11 названного Постановления Пленума Верховного Суда РФ, Разрешая вопрос о размере сумм, взыскиваемых в возмещение судебных издержек, суд не вправе уменьшать его произвольно, если другая сторона не заявляет возражения и не представляет доказательства чрезмерности взыскиваемых с нее расходов (часть 3 статьи 111 АПК РФ , часть 4 статьи 1 ГПК РФ , часть 4 статьи КАС РФ). Вместе с тем в целях реализации задачи судопроизводства по справедливому публичному судебному разбирательству, обеспечения необходимого баланса процессуальных прав и обязанностей сторон (статьи , 35 ГПК РФ , статьи , 45 КАС РФ , статьи , 41 АПК РФ ) суд вправе уменьшить размер судебных издержек, в том числе расходов на оплату услуг представителя, если заявленная к взысканию сумма издержек, исходя из имеющихся в деле доказательств, носит явно неразумный (чрезмерный) характер. Обязанность суда взыскивать расходы на оплату услуг представителя, понесенные лицом, в пользу которого принят судебный акт, с другого лица, участвующего в деле, в разумных пределах является одним из предусмотренных законом правовых способов, направленных против необоснованного завышения размера оплаты услуг представителя, и тем самым - на реализацию требования ст. (ч. 3) Конституции Российской Федерации. Именно поэтому в ч. 1 ст. 100 ГПК РФ речь идет, по существу, об обязанности суда установить баланс между правами лиц, участвующих в деле. Изучив предоставленные доказательства и учитывая отсутствие мотивированных возражений ответчика, а также тех обстоятельств, что заявленные и понесенные истцами расходы на оплату услуг представителя не превышают минимальных размеров вознаграждения за конкретные виды юридической помощи, установленные постановлением совета адвокатской палаты Воронежской области от 12.12.2019 "О минимальных ставках вознаграждения за оказываемую юридическую помощь", суд считает необходимым взыскать с ООО СЗ «ВыборСтрой Шесть» расходы на оплату услуг представителя истцов в полном объеме в сумме 25 000,00 рублей, полагая указанную сумму соответствующей как объему оказанной помощи, так и принципу разумности и справедливости. Также на основании ст.ст. , 103 ГПК РФ с ответчика в доход соответствующего бюджета подлежит взысканию определенная согласно ст. 333.19 . НК РФ государственная пошлина в сумме 9 659,00 рублей. Руководствуясь ст. ст. , , - 198 ГПК РФ , суд РЕШИЛ: Исковые требования ФИО1 к обществу с ограниченной ответственностью Специализированный застройщик «ВыборСтрой Шесть» об уменьшении цены договора купли-продажи объекта недвижимости на стоимость устранения строительных недостатков квартиры, взыскании неустойки, компенсации морального вреда, штрафа, удовлетворить. Взыскать с общества ограниченной ответственностью Специализированный застройщик «ВыборСтрой Шесть», ИНН&lt;***&gt;, в пользу ФИО1, (ДД.ММ.ГГГГ) года рождения, паспорт &lt;адрес&gt;035587, расходы на устранение строительных недостатков в размере 365871,96 рублей, неустойку за период с 05.07.2024 по 07.02.2025 в размере 250000,00 рублей, с продолжением ее начисления на сумму 365 871,96 рублей по ставке 1 % в день с 08.02.2025 по день фактического исполнения обязательства, компенсацию морального вреда в размере 3000,00 рублей, штраф в размере 100000,00 рублей, расходы на оплату услуг представителя в размере 25000,00 рублей. Взыскать с общества с ограниченной ответственностью специализированный застройщик «ВыборСтрой Шесть», ОГРН&lt;***&gt;, ИНН&lt;***&gt;, в доход бюджета городского округа город Воронеж государственную пошлину в размере 9 659,00 рублей. Решение может быть обжаловано в апелляционном порядке в Воронежский областной суд в течение месяца со дня его принятия в окончательной форме через Коминтерновский районный суд города Воронежа. Судья Н.А. Каширина Решение принято в окончательной форме 21 февраля 2025 года Суд: Коминтерновский районный суд г. Воронежа (Воронежская область) (подробнее) Ответчики: ООО СЗ "ВыборСтройШесть" (подробнее) Судьи дела: Каширина Наталья Александровна (судья) (подробнее) Последние документы по делу: Решение от 26 июля 2025 г. по делу № 2-170/2025 Решение от 31 марта 2025 г. по делу № 2-170/2025 Решение от 6 февраля 2025 г. по делу № 2-170/2025 Решение от 5 февраля 2025 г. по делу № 2-170/2025 Показать все документы по этому делу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