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10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Обязательныхтребований строительных норм (ГОСТов, СНиПов, СП, др. нормативных документов в области строительства) к выполненным строительномонтажным работам в части: оконных и дверных конструкций из ПВХ профиля, стяжки пола, вертикальных стояков ГВС и ХВС, указанных в перечне национальных стандартов и сводов правил (частей таких стандартов и сводов правил), согласно действующего законодательства РФ на момент исследования, не предусмотрено. Однако имеются отступления от рекомендательных требований обычно применяемых в области строительства (ГОСТ, СНиП, СП, др. нормативных документов в области строительства), что подробно отражено в исследовательской части заключения. Выявленные недостатки условий договора долевого участия не регламентируются. Недостатки в ..., указанные в заключении специалиста №ГИ8/1-103 от 1 июля 2024 года ФИО2, имеются частичнои являются отступлением от требований строительных норм и правил ГОСТов, проектно-сметной документации, а также иных требований в области строительства.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Установленные недостатки: недостаток (дефект) несоответствие На момент исследования толщина (высота) стяжки пола в комнате и кухне-гостиной - 59мм. п.8.2 СП 29.13330.2011 Полы. Актуализированная редакция СНиП 2.03.13- 88. Комната оконный блок стеклопакеты двухкамерные с формулой стеклопакета 4М1 - 10-4М1-10-4М1. Нормативным требованиям (расчетное сопротивление теплопередаче стеклопакета 0.46м2,оС/Вт, для региона Уфа 0,56 м2°С/Вт). Кухня балконный блок (выход на лоджию) стеклопакеты двухкамерные с формулой стеклопакета 4М1 -10-4М1 -10-4М1. Нормативным требованиям (расчетное сопротивление теплопередаче стеклопакета 0.46м2-°С/Вт, для региона Уфа 0,56 м2-°С/Вт). Кухня балконный блок (выход на лоджию) имеется отклонения от прямолинейности рамного профиля Змм на 1 метр длины. п.5.2.8 ГОСТ 30674-99 Блоки оконные из поливинилхлоридных профилей. Кухня балконный блок (выход на лоджию) при вскрытии откоса (со стороны лоджии) установлено отсутствие четвертого слоя монтажного шва. п.5.1.3 ГОСТ 30971-2012 Швы монтажные узлов примыкания оконных блоков к стеновым проемам. Ленточное остекление лоджии (витраж) имеются четыре не открывающиеся створки размером 700x1250мм. п.5.1.6 ГОСТ 23166-99 Блоки оконные. На момент исследования изоляция на вертикальных стояках ГВС и ХВС в санузле отсутствует. п.5.3.2.4 и п.5.5.5 СП 30.13330.2016 Внутренний водопровод и канализация зданий.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Выявленные недостатки в ... расположенной по адресу: РБ, ..., имеют производственный характер возникновения. Возникновение выявленных дефектов находится в прямой причинно- следственной связи с нарушением технологии работ и отсутствием контроля качества за производством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Выявленные недостатки в ... расположенной по адресу: РБ, ..., имеют производственный характер возникновения. Возникновение выявленных дефектов находится в прямой причинно-следственной связи с нарушением технологии работ и отсутствием контроля качества за производством работ. Признаков не правильной эксплуатации, не надлежащего ремонта и перепланировки жилого помещения, в части выявленных недостатков при проведении экспертизы не выявлено.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Выявленные недостатки в ... расположенной по адресу: РБ, ..., являются устранимыми.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Недостаток (дефект) Способ устранения На момент исследования толщина (высота) стяжки пола в комнате и кухне-гостиной - 59мм. Доливка стяжки пола до нормативной толщины. Комната оконный блок стеклопакеты двухкамерные с формулой стеклопакета 4М1 - 10-4М1-10-4М1. Замена стеклопакетов на соответствующие требованиям для региона Уфа. Кухня балконный блок (выход на лоджию) стеклопакеты двухкамерные с формулой стеклопакета 4М1 -10-4М1 -10-4М1. Замена стеклопакетов на соответствующие требованиям для региона Уфа. Кухня балконный блок (выход на лоджию) имеется отклонения от прямолинейности рамного профиля Змм на 1 метр длины. Замена профильной конструкции блока. Кухня балконный блок (выход на лоджию) при вскрытии откоса (со стороны лоджии) установлено отсутствие четвертого слоя монтажного шва. Демонтаж блока с последующим монтажом и устройством монтажного шва согласно нормативных требований. Ленточное остекление лоджии (витраж) имеются четыре не открывающиеся створки размером 700x1250мм. Замена не открывающихся створок на открывающиеся. На момент исследования изоляция на вертикальных стояках ГВС и ХВС в санузле отсутствует. Устройство изоляции на стояки ХВС и ГВС.</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Стоимость восстановительных работ и материалов, необходимых для устранения выявленных недостатков составляет 151 934,60 руб. Рыночная стоимость годных остатков составляет 4 743,95 руб. Оценивая досудебное заключение специалиста № ГИ8/1-103 от 1 июля 2024 года, суд не может с ним согласиться, поскольку специалист не предупреждался судом об уголовной ответственности, ответчику не разъяснялись его права на участие в проведении экспертизы, представлении вопросов, отвода эксперту, при проведении экспертизы не была запрошена и изучена лицом, проводившим экспертизу, проектная документация на жилой дом. В силу статьи 86 ГПК РФ заключение эксперта должно содержать подробное описание проведённого исследования, сделанные в результате его выводы и ответы на поставленные судом вопросы. Из вышеназванных норм права следует, что заключение судебной экспертизы оценивается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Исходя из полноты, научной обоснованности и достоверности полученных выводов, судом принимается заключение судебной экспертизы ООО «Ассоциация независимых экспертов» в качестве надлежащего доказательства по делу. Судебная экспертиза проведена экспертом, обладающим квалификацией и необходимыми познаниями в исследуемой области, имеющим достаточный стаж работы и соответствующее образование. Оснований сомневаться в правильности заключения эксперта не имеется, заключение в достаточной степени мотивировано, подготовлено по результатам соответствующих исследований, проведённых экспертом, которому разъяснены права и обязанности, предусмотренные статьёй 85 ГПК РФ , и который в установленном порядке предупрежден об уголовной ответственности за дачу заведомо ложного заключения. При даче заключения приняты во внимание имеющиеся в материалах дела документы, проведённый экспертный анализ основан на специальной литературе, даны ответы на все поставленные судом вопросы, исследовательская часть экспертизы и выводы эксперта неясностей и разночтений не содержат. На основании пункта 6 статьи Закона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пунктом 1 статьи 19 того же Закона,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Между тем, в силу положений абз. 2 п. 6 ст. Закона о защите прав потребителей, ч. 7 ст. 7 ФЗ № 214-ФЗ «Об участии в долевом строительстве многоквартирных домов...», по недостаткам, проявившимся в течение гарантийного срока, бремя доказывания наличия обстоятельств, освобождающих застройщика от ответственности за их возникновение, лежит на застройщике. Ответчиком ООО СЗ «Агидель-ИнвестСтрой» в нарушение требований ст. Гражданского процессуального кодекса Российской Федерации не представлено достоверных и достаточных доказательств, свидетельствующих о том, что выявленные недостатки возникли по вине истца. По смыслу положений ст. Гражданского процессуального кодекса Российской Федерации,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статье 67 ГПК РФ установлено правило о том, что ни одно доказательство не имеет для суда заранее установленной силы, а в положениях части 3 статьи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Однако это не означает право суда самостоятельно разрешать вопросы, требующие специальных познаний в определенной области науки. На основании вышеизложенного, суд приходит к выводу о взыскании с ООО СЗ «Агидель-ИнвестСтрой» в пользу ФИО1 стоимости устранения выявленных недостатков в квартире в размере 147 190,65 руб. (151 934,60 руб. - сумма устранения недостатков) - (4 743,95 руб. - годные остатки) в соответствии со ст. 196 ГПК РФ по заявленным истцом требованиям. Вопреки утверждению ответчика о том, что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3 % от цены договора, если уплата денежных средств в большем размере не предусмотрена договором (ч. 4 ст. 10 Закона N 214-ФЗ), данные положения применению не подлежат, поскольку ч. 4 ст. 10 применяется к правоотношениям, возникшим из ДДУ, заключенных до 01.09.2025, и применяются в части прав и обязанностей, которые возникнут после 01.01.2025 (ФЗ от 26.12.2024 N 482-ФЗ), тогда как иск подан в суд 25 сентября 2024 года. Кроме того, 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договору возмездного оказания экспертных услуг и акту о передаче денежных средств от 1 июля 2024 года, ФИО1 для установления стоимости устранения выявленных дефектов оплатил ФИО2 сумму в размере 45 000 руб. Поскольку указанные расходы ФИО1 понес вследствие неправомерных действий ООО СЗ «Агидель-ИнвестСтрой», суд полагает, что в силу ст. 15 ГК РФ ответственность по их возмещению должна быть возложена на ответчика. При этом оснований для снижения данной суммы не усматривается, поскольку расходы по экспертизе, являясь убытками, в соответствии с положениями ст. ст. , 1064 ГК РФ подлежат полному возмещению.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ч. 2 ст. 10 Федерального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ООО СЗ «Агидель-ИнвестСтрой» в пользу ФИО1 в счет компенсации морального вреда сумму в размере 5 000 руб. Далее.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(ст. 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Кроме того, в силу ч. 3 ст. 10 Федерального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В соответствии со ст. 2 Федерального закона от 08.08.2024 № 266-ФЗ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от 08.08.2024 № 266-ФЗ) при определении размера неустоек (штрафов, пеней), подлежащих начислению за период со дня вступления в силу Закона от 08.08.2024 № 266-ФЗ за неисполнение или ненадлежащее исполнение обязательств (в том числе за нарушения сроков исполнения обязательств) по договорам участия в долевом строительстве, заключенным до дня вступления в силу Закона от 08.08.2024 № 266-ФЗ, применяются положения ч. 9 ст. 4, ч. 8 ст. 7 и ст. 10 Закона № 214-ФЗ (в редакции Закона от 08.08.2024 № 266-ФЗ). Вместе с тем, постановлением Правительства РФ от 18 марта 2024 года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предусмотрены следующие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2024 года включительно; при определении размера убытков, предусмотренных статьей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учитываются убытки, причиненные в период со дня вступления в силу настоящего постановления до 31 декабря 2024 г. включительно; проценты, подлежащие уплате участнику долевого строительства в соответствии с частями 2 и 6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период со дня вступления в силу настоящего постановления до 31 декабря 2024 г. включительно, не начисляются;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период с 1 июля 2023 года до 31 декабря 2024 года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года. Указанные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Претензия направлена истцом в адрес ответчика и получена 30 июля 2024 года, т.е. в период моратория, установленного с 1 июля 2023 года до 31 декабря 2024 года. Поскольку истцом заявлены исковые требования в период, исчисляемый после дня вступления в силу постановления Правительства РФ от 18 марта 2024 года № 326, то требования о взыскании штрафа не подлежат удовлетворению.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истцом понесены расходы по оплате услуг представителя в размере 20 000 рублей, что подтверждается представленными в суд документами: договором об оказании юридических услуг и актом от 24 июля 2024 года. В силу указания закона (ст. 100 ГПК РФ ) в каждом конкретном случае суду при взыскании таких расходов надлежит определять разумные пределы, исходя из обстоятельств дела. Установление размера и порядка оплаты услуг представителя относится к сфере усмотрения доверителя и поверенного и определяется договором. Суд, в соответствии с действующим законодательством, не может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Неразумными могут быть сочтены значительные расходы, не оправданные ценностью подлежащего защите права либо несложность процесса. Взыскание расходов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статьи (часть 3) Конституции Российской Федерации. Именно поэтому в части 1 статьи 100 ГПК РФ речь идет, по существу, об обязанности суда установить баланс между правами лиц, участвующих в деле. Вместе с тем, вынося мотивированное решение о взыскании сумм в возмещение соответствующих расходов, суд не вправе уменьшить его произвольно, тем более, если другая сторона не представляет доказательства чрезмерности взыскиваемых с нее расходов (пункт 2 определения Конституционного Суда Российской Федерации от 21 декабря 2004 года № 454-О). Определяя размер подлежащих возмещению расходов на оплату услуг представителя, суд учитывает степень сложности данного дела, объем совершенных процессуальных действий представителем, связанных с составлением претензии и направлении ее, составлении искового заявления, участием в подготовке к судебному заседанию суда первой инстанции, а также принцип разумности и соразмерности, находит подлежащим взысканию с ответчика в пользу истца расходы на оплату услуг представителя в сумме 15 000 рублей, что, по мнению суда, соответствует объему оказанных услуг. При этом суд учитывает, что согласно решению Совета Адвокатской палаты Республики Башкортостан от 26 июня 2023 года минимальная ставка вознаграждения за составление искового заявления составляет от 10 000 руб. за документ, участие адвоката в суде первой инстанции от 15 000 руб. за один день занятости, но не менее 60 000 руб. за участие в суде первой инстанции. При этом суд учитывает обстоятельства дела, а именно, сложность и продолжительность дела, объем оказанной представителем юридической помощи, сложившемуся в данной местности уровню оплату услуг адвокатов по представлению интересов доверителей в гражданском процессе и другим факторам, определяющим их размер, а также тот факт, что наличие квалифицированной юридической помощи в конечном итоге привело истца к ценному благу - удовлетворению исковых требований истца. Согласно абзацу 8 статьи 94 ГПК РФ к издержкам, связанным с рассмотрением дела, относятся связанные с рассмотрением дела почтовые расходы, понесенные сторонами. Из материалов дела следует, что ФИО1 понесены почтовые расходы по стоимости курьерских услуг в размере 400 руб., расходы по оплате услуг курьера в размере 800 руб. Указанные расходы также подлежат взысканию с ООО СЗ «Агидель-ИнвестСтрой» в пользу ФИО1 В соответствии с частью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Суд приходит к выводу, что с ООО СЗ «Агидель-ИнвестСтрой» в пользу истца подлежат взысканию расходы по ксерокопированию в размере 2 618 руб. Истец также просит взыскать понесенные им расходы на оформление доверенности в сумме 2 400 руб. Расходы по нотариальному оформлению доверенности на представителя подлежат включению в состав издержек, связанных с рассмотрением дела, и относятся к другим признанным судом необходимыми расходам (абз. 9 ст. 94 ГПК РФ ), подлежат возмещению по правилам ст. 98 ГПК РФ . В абз. 3 ч. 2 Постановления Пленума Верховного Суда РФ от 21 января 2016 г. N 1"О некоторых вопросах применения законодательства о возмещении издержек, связанных с рассмотрением дела" разъяснено, что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Из доверенности ...1 от 31 августа 2024 года следует, что она выдана ФИО1 для представления его интересов по иску о взыскании стоимости устранения недостатков в квартире по адресу: ..., в связи с чем, суд приходит к выводу, что требование истца о взыскании суммы 2 400 руб. подлежит удовлетворению.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С учетом изложенного, с ответчика подлежит взысканию в доход местного бюджета государственная пошлина в размере 5 415,71 руб., от уплаты которой был освобожден истец при подаче иска. Руководствуясь ст. ст. , - 198 ГПК РФ , суд Р Е Ш И Л: исковые требования ФИО1 к обществу с ограниченной ответственностью Специализированный Застройщик «Агидель-ИнвестСтрой» о защите прав потребителя, взыскании стоимости устранения недостатков, судебных расходов, компенсации морального вреда, штрафа, удовлетворить частично. Взыскать с общества с ограниченной ответственностью Специализированный Застройщик «Агидель-ИнвестСтрой» (ОГРН &lt;***&gt;, ИНН &lt;***&gt;) в пользу ФИО1 (&lt; дата &gt; года рождения, паспорт ... выдан &lt; дата &gt; ..., код подразделения ...): - стоимость устранения недостатков в размере 147 190,65 руб.; - компенсацию морального вреда в размере 5 000 руб.; - расходы на оплату услуг представителя в размере 15 000 руб.; - расходы на составление заключения специалиста в размере 45 000 руб.; - расходы по ксерокопированию в размере 2 618 руб.; - стоимость курьерских услуг в размере 1 200 руб.; - расходы на оплату услуг нотариуса в размере 2 400 рублей. В удовлетворении исковых требований ФИО1 к обществу с ограниченной ответственностью Специализированный Застройщик «Агидель-ИнвестСтрой» в остальной части отказать. Взыскать с общества с ограниченной ответственностью Специализированный Застройщик «Агидель-ИнвестСтрой» (ОГРН &lt;***&gt;, ИНН &lt;***&gt;) в пользу местного бюджета государственную пошлину в размере 5 415,71 рублей. Решение может быть обжаловано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составлено 24 февраля 2025 года Подлинник решения подшит в гражданское дело 2-272/2025 Советского районного суда г. Уфы РБ Суд: Советский районный суд г. Уфы (Республика Башкортостан) (подробнее) Ответчики: Общество с ограниченной ответственностью Специализированный застройщик "Агидель-ИнвестСтрой" (подробнее) Судьи дела: Сулейманов Т.М. (судья) (подробнее) Последние документы по делу: Решение от 2 апреля 2025 г. по делу № 2-272/2025 Решение от 24 марта 2025 г. по делу № 2-272/2025 Решение от 9 февраля 2025 г. по делу № 2-272/2025 Решение от 3 февраля 2025 г. по делу № 2-272/2025 Решение от 27 января 2025 г. по делу № 2-272/2025 Решение от 21 января 2025 г. по делу № 2-272/2025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