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Имеются ли в квартире, расположенной по адресу: &lt;адрес&gt;, недостатки в выполненных застройщиком строительных и отделочных работах, а также иные недостатки?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указанные недостатки имеются, каковы причины их возникновения, являются ли они следствием нарушения застройщиком условий договора, требований технических регламентов, градостроительных регламентов, иных действующих строительных норм и правил, а также обязательных требований?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Привели ли имеющиеся недостатки к ухудшению качества квартиры, расположенной по адресу: &lt;адрес&gt;, и (или) делают ее непригодной для предусмотренного договором использования?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Согласно заключению судебной экспертизы №2025-1145 от 29.12.2024 эксперт ФИО2 пришел к следующим выводам по поставленным судом вопросам: В выполненных застройщиком строительных и отделочных работах в помещениях квартиры № (№), расположенной в многоквартирном доме по адресу: &lt;адрес&gt;В, имеются недостатки (дефекты) и нарушения строительных норм и правил, обычно предъявляемых к качеству строительных и отделочных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оконный блок в гостиной-столовой имеет две глухие створки из трёх.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исследовании по первому вопросу, носят производственный характер (производственные дефекты), являются следствием несоблюдения застройщиком требований нормативно-технической документации (СНиП, СП и ГОСТ). Выявленные недостатки не являются следствием нарушения застройщиком условий договора, требований технических регламентов, градостроительных регламентов, а также иных обязательных требований (являются отступлением от требований, применяемых на добровольной основе). На основании расчета, приведенного в Приложении к экспертному заключению (Локальная смета №1), стоимость работ и материалов, необходимых для устранения недостатков в выполненных застройщиком строительных и отделочных работах в квартире, расположенной по адресу: &lt;адрес&gt;В, &lt;адрес&gt;, на момент производства экспертизы с учетом НДС составляет 13 793,45 руб. (Тринадцать тысяч семьсот девяносто три рубля) 45 коп. Недостатки (дефекты) в строительных и отделочных работах в помещениях квартиры, расположенной в многоквартирном доме по адресу: &lt;адрес&gt;В, &lt;адрес&gt;, выявленные экспертом в ходе натурного осмотра и, описанные в исследовательской части по первому вопросу данного заключения, являются следствием несоблюдения застройщиком требований нормативно-технической документации (СНиП, СП и ГОСТ), в связи с чем наличие данных недостатков (дефектов) приводит к ухудшению качества квартиры, расположенной по адресу: &lt;адрес&gt;. В ходе проведенного осмотра установлено, что квартира, расположенная по адресу: &lt;адрес&gt;, используется по ее функциональному назначению – для проживания. Выявленные недостатки не создают собственникам квартиры препятствий в пользовании квартирой, не оказывают влияние на параметры внутреннего микроклимата: освещенность, воздухообмен, температуру в помещениях, при нарушении которых условия для проживания в квартире были бы ухудшены и невозможны. На основании вышеизложенного следует сделать вывод о том, что выявленные недостатки в квартире, расположенной по адресу: &lt;адрес&gt;, не сделали ее не пригодной для предусмотренного договором использования.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указана в исследовательской части по третьему вопросу данного заключения, которая согласно расчета, приведенного в Приложении к экспертному заключению (Локальная смета №1), составляет 13 793,45 руб. (Тринадцать тысяч семьсот девяносто три рубля) 45 коп. По смыслу положений ст. 86 ГПК РФ экспертное заключение является одним из важных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67 ГПК РФ закреплено правило о том, что ни одно доказательство не имеет для суда заранее установленной силы, а в положениях ч. 3 ст. 86 ГПК РФ отмечено, что заключение эксперта для суда необязательно и оценивается наряду с другими доказательствами. Суд оценивает экспертное заключение с точки зрения соблюдения процессуального порядка назначения экспертизы,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Оценивая полученное заключение судебной экспертизы, сопоставив его с совокупностью других доказательств по гражданскому делу, суд не находит оснований не доверять выводам эксперта, предупрежденного об уголовной ответственности, имеющих надлежащий опыт проведения такого рода экспертиз и квалификацию. Выводы заключения согласуются с иными имеющимися в материалах гражданского дела доказательствами, что позволяет суду положить его в основу судебного решения. В рамках рассмотрения настоящего дела юридически значимым обстоятельством является отнесение требований, упомянутых в экспертном заключении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Так, в соответствии с пунктом 2.2. договора участия в долевом строительстве объекта недвижимости стороны по настоящему делу согласовали общие характеристики квартиры (подъезд, этаж, проектную площадь, расположение на плане этажа), а также то, что отделочные работы и оборудование подлежат выполнению и установке в соответствии с проектом, выполняются в соответствии с договором, действующими строительными нормами и правилами и определяются сторонами в технической характеристике. В приложении № 3 к договору участия в долевом строительстве объекта недвижимости указаны технические характеристики многоквартирного жилого дом, основные характеристики жилого помещения и его техническое состояние. При этом, описание технического состояния помещения носит общий характер и не содержит ссылок на конкретные нормативные требования. Исходя из буквального толкования указанного пункта договора, качество квартиры, передаваемой истцам, должно соответствовать проектной документации, которая, в свою очередь, не должна противоречить требованиям документов в области стандартизации. При этом условиями договора не предусмотрено, что при выполнении застройщиком работ допускаются строительные дефекты или иные отступления от условий договора, наличие которых ответчиком не опровергнуто.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экспертном заключении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Из экспертного заключения судом установлено, что перечисленные в нем недостатки жилого помещения, возникли по вине застройщика и привели к ухудшению качества принадлежащего истцу жилого помещения.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судебной экспертизы приходит к выводу об установлении факта наличия недостатков в выполненных застройщиком ООО СЗ «ГарантСтрой» работах при строительстве квартиры по адресу: &lt;адрес&gt;В, &lt;адрес&gt;, в рамках предусмотренного законом гарантийного срока, стоимость устранения которых составляет 13 793,45 рублей, что свидетельствует об обоснованности заявленных ФИО1 исковых требований в указанной части. Исходя из изложенного, в пользу ФИО1 с ответчика подлежит взысканию стоимость устранения строительных недостатков квартиры в сумме 13 793,45 рублей. Частью 2 статьи 10 Закона о долевом строительстве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истцов и, учитывая характер допущенных нарушений, с ответчика в пользу истца следует взыскать компенсацию морального вреда в размере 3000,00 рублей.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просит суд взыскать с ответчика расходы на оплату услуг представителя в сумме 30000,00 рублей, 50 000 рублей по оплате судебного экспертного заключения. Согласно материалам дела, истцом было оплачено 50 000 рублей по оплате судебного экспертного заключения определения недостатков и стоимости их устранения, что подтверждается кассовым чеком. В соответствие со ст.ст. , 98 ГПК РФ , взысканию с ответчика в пользу истца ФИО3 подлежат подтвержденные платежными документами судебные расходы на проведение судебного экспертного заключения в размере 50000,00 рублей. Истец ФИО1 просит суд взыскать с ответчика ООО СЗ «ГарантСтрой» также расходы на оплату услуг представителя в сумме 30000 рублей. В обоснование заявленных требований приложен договор об оказании юридической помощи, заключенный между ФИО1 и Адвокатами Дегтяревым С.П. и Дегтяревой Н.В., квитанции к приходным кассовым ордерам на сумму 30000 рублей. Материалами дела подтверждается, что представителем истца было подготовлено исковое заявление, ходатайство о назначении судебной экспертизы, уточненное исковое заявление. Кроме того, интересы истца в судебных заседаниях суда первой инстанции 11.03.2025 представляла представитель –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истцом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необходимым взыскать с ООО СЗ «ГарантСтрой» расходы на оплату услуг представителя истца в полном объеме в сумме 30000 рублей, полагая указанную сумму соответствующей как объему оказанной помощи, так и принципу разумности и справедливости. Помимо указанного,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7 000,00 рублей. Руководствуясь ст.ст. , , - 198 ГПК РФ , суд РЕШИЛ: Исковые требования ФИО1 к обществу с ограниченной ответственностью специализированный застройщик «ГарантСтрой» об уменьшении цены договора участия в долевом строительстве объекта недвижимости на стоимость строительных недостатков квартиры, взыскании компенсации морального вреда, судебных расходов, удовлетворить. Взыскать с общества с ограниченной ответственностью специализированный застройщик «ГарантСтрой» ОГРН&lt;***&gt;, ИНН&lt;***&gt;, в пользу (ФИО)3, (ДД.ММ.ГГГГ) года рождения, паспорт (№), расходы на устранение строительных недостатков в размере 13 793,45 рублей в качестве уменьшения цены договора участия в долевом строительстве объекта недвижимости № III/IV (20) от 10.06.2019, компенсацию морального вреда в размере 3000,00 рублей, судебные расходы в размере 80000,00рублей. Взыскать с общества с ограниченной ответственностью специализированный застройщик «ГарантСтрой» ОГРН&lt;***&gt;, ИНН&lt;***&gt;, в доход бюджета городского округа город Воронеж государственную пошлину в размере 7 000,00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24 марта 2025 года Суд: Коминтерновский районный суд г. Воронежа (Воронежская область) (подробнее) Ответчики: ООО СЗ "ГарантСтрой" (подробнее) Судьи дела: Каширина Наталья Александровна (судья) (подробнее) Последние документы по делу: Решение от 9 декабря 2025 г. по делу № 2-733/2025 Решение от 10 сентября 2025 г. по делу № 2-733/2025 Решение от 24 марта 2025 г. по делу № 2-733/2025 Решение от 10 марта 2025 г. по делу № 2-733/2025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