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Имеются ли в квартире, расположенной по адресу: &lt;адрес&gt;, недостатки в выполненных застройщиком строительных и отделочных работах, а также иные недостатки?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указанные недостатки имеются, каковы причины их возникновения, являются ли они следствием нарушения застройщиком условий договора, требований технических регламентов, проектной документации, градостроительных регламентов, иных действующих строительных норм и правил, а также обязательных требований?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Какова стоимость работ и материалов по устранению недостатков в выполненных застройщиком строительных и отделочных работах в квартире, расположенной по адресу: &lt;адрес&gt;?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Какова стоимость работ по демонтажу выявленных недостатков в выполненных застройщиком строительных и отделочных работах в квартире, расположенной по адресу: &lt;адрес&gt;?</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Привели ли имеющиеся недостатки к ухудшению качества квартиры, расположенной по адресу: &lt;адрес&gt;, и (или) делают ее непригодной для предусмотренного договором использования?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Какова стоимость работ и материалов по устранению недостатков в выполненных застройщиком строительных и отделочных работах в квартире, расположенной по адресу: &lt;адрес&gt;, приведших к ухудшению качества квартиры? Согласно заключению судебной экспертизы №2024-026 от 24.02.2025 эксперт ФИО2 пришел к следующим выводам по поставленным судом вопросам: В выполненных застройщиком строительных и отделочных работах в помещениях &lt;адрес&gt;, расположенной в многоквартирном доме по адресу: &lt;адрес&gt;, имеются недостатки (дефекты) и нарушения строительных норм и правил, обычно предъявляемых к качеству строительных и отделочных работ,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Требований п.6.6.3 ГОСТ 12504-2015 «Панели стеновые внутренние бетонные и железобетонные для жилых и общественных зданий. Общие технические условия (Переиздание)» – при обследовании стен двухметровой рейкой, на отдельных стенах помещений квартиры выявлены отклонения от прямолинейности поверхностей железобетонных панелей, превышающие допустимые предельные отклонения в 5 мм. (для панелей диной свыше 2,5 м. до 4,0 м.), а именно: – в жилой комнате (детская) – на нижней части стены (стена с оконным блоком) отклонения глубиной 7 мм. на участке площадью 0,48 кв.м.;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Требований п.8.14.1 (Табл. 8.15) СП 71.13330.2017 «Изоляционные и отделочные покрытия. Актуализированная редакция СНиП 3.04.01-87» и п.7.3. ТР 114-01 «Технология устройства покрытия пола из ламинат-паркета. Технические рекомендации» – при обследовании полов в помещении квартиры, выявлены зазоры и щели между плинтусами и покрытием пола, а также просветы между двухметровой рейкой и поверхностью пола, превышающие допустимые предельные отклонения в 2 мм., а именно: – в прихожей-коридоре (покрытие полов единое) – зазоры и щели между плинтусами и покрытием пола, а также просветы глубиной 4 мм., на площади 1,37 кв.м.; – в жилой комнате (гостиная) – просветы глубиной 3 мм., на площади 1,08 кв.м.; – в жилой комнате (детская) – просветы глубиной 6 мм., на площади 0,60 кв.м.; – в помещении кухни – просветы глубиной 5 мм., на площади 0,54 кв.м.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Требований п.7.4.13 СП 71.13330.2017 «Изоляционные и отделочные покрытия. Актуализированная редакция СНиП 3.04.01-87» – при обследовании поверхности полов из керамической плитки в ванной комнате и санузле квартиры на отдельных участках зафиксирована различная ширина затирочного шва.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Требований п.4.3.3.2. ГОСТ 28786-2019 «Блоки дверные деревянные и комбинированные. Определение свойств в различных климатических условиях (с Поправкой)» – при измерительном контроле межкомнатных дверных блоков квартиры выявлены отклонения от вертикали, превышающие допустимые предельные отклонения в 2,0 мм. на 1 м. длины блока, а именно: – в жилой комнате (гостиная) – отклонение дверного блока от вертикали составляет 11 мм. на 1 метр (22 мм. на высоту блока); – в ванной комнате – отклонение дверного блока от вертикали составляет 3 мм. на 1 метр (6 мм. на высоту блока); – в жилой комнате (детская) – отклонение дверного блока от вертикали составляет 3 мм. на 1 метр (6 мм. на высоту блока); – в помещении кухни – отклонение дверного блока от вертикали составляет 6 мм. на 1 метр (12 мм. на высоту блока).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Требований п.Г.6 Приложения «Г» ГОСТ 31173-2016 «Блоки дверные стальные. Технические условия» – при измерительном контроле входного металлического дверного блока квартиры выявлены отклонения от вертикали, превышающие допустимые предельные отклонения в 1,5 мм. на 1 м. длины блока – отклонение дверного блока от вертикали составляет 2 мм. на 1 метр (4 мм. на высоту блока).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Требований п.5.1.6. ГОСТ 23166-99 «Блоки оконные. Общие технические условия» – при обследовании установлено, что оконный блок в жилой комнате (гостиная) имеет две глухие створки из трёх, а оконные блоки в жилой комнате (детская) и в помещении кухни имеют по одной глухой створке из двух.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Требований Табл. Ж1 приложения Ж ГОСТ 34378-2018 «Конструкции ограждающие светопрозрачные. Окна и двери. Производство монтажных работ, контроль и требования к результатам работ» – при измерительном контроле оконных и балконного (дверного) блоков в помещениях квартиры, выявлены отклонения от вертикали, превышающие допустимые предельные отклонения в 3,0 мм. на высоту изделия, а именно: – в жилой комнате (гостиная) – отклонение балконного блока от вертикали составляет 6 мм. на высоту изделия; – в помещении кухни – отклонение оконного блока от вертикали составляет 5 мм. на высоту изделия.</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Требований п.5.3.2.2. ГОСТ Р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остекление лоджии квартиры имеет три глухие створки из четырех.</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Требований п.5.3.2.5. (в) ГОСТ Р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ограждение лоджии квартиры закреплено непосредственно к светопрозрачной алюминиевой конструкции с помощью самонарезающих винтов. Недостатки (дефекты) в строительных и отделочных работах в помещениях квартиры, расположенной в многоквартирном доме по адресу: &lt;адрес&gt;, выявленные экспертом в ходе натурного осмотра и, описанные в исследовании по первому вопросу, носят производственный характер (производственные дефекты), являются следствием несоблюдения застройщиком требований нормативно-технической документации (СНиП, СП и ГОСТ). Выявленные недостатки не являются следствием нарушения застройщиком условий договора, требований технических регламентов, проектной документации, градостроительных регламентов, а также иных обязательных требований (являются отступлением от требований, применяемых на добровольной основе). На основании расчета, приведенного в Приложении к экспертному заключению (Локальная смета (№)), стоимость работ и материалов, необходимых для устранения недостатков в выполненных застройщиком строительных и отделочных работах в квартире, расположенной по адресу: &lt;адрес&gt;, на момент производства экспертизы с учетом НДС составляет 338047,70 руб. (Триста тридцать восемь тысяч сорок семь рублей) 70 коп. На основании расчета, приведенного в Приложении к экспертному заключению (Локальная смета (№)), стоимость демонтажных работ, необходимых для устранения недостатков в выполненных застройщиком строительных и отделочных работах в квартире, расположенной по адресу: &lt;адрес&gt;, на момент производства экспертизы с учетом НДС составляет 36694,60 руб. (Тридцать шесть тысяч шестьсот девяносто четыре рубля) 60 коп. Недостатки (дефекты) в строительных и отделочных работах в помещениях квартиры, расположенной в многоквартирном доме по адресу: &lt;адрес&gt;, выявленные экспертом в ходе натурного осмотра и, описанные в исследовательской части по первому вопросу данного заключения, являются следствием несоблюдения застройщиком требований нормативно-технической документации (СНиП, СП и ГОСТ), в связи с чем наличие данных недостатков (дефектов) приводит к ухудшению качества квартиры, расположенной по адресу: &lt;адрес&gt;. В ходе проведенного осмотра установлено, что квартира, расположенная по адресу: &lt;адрес&gt;, используется по ее функциональному назначению – для проживания. Выявленные недостатки не создают собственникам квартиры препятствий в пользовании квартирой, не оказывают влияние на параметры внутреннего микроклимата: освещенность, воздухообмен, температуру в помещениях, при нарушении которых условия для проживания в квартире были бы ухудшены и невозможны. На основании вышеизложенного следует сделать вывод о том, что выявленные недостатки в квартире, расположенной по адресу: &lt;адрес&gt;, не сделали ее не пригодной для предусмотренного договором использования. Стоимость работ и материалов по устранению недостатков в выполненных застройщиком строительных и отделочных работах в квартире, расположенной по адресу: &lt;адрес&gt;, приведших к ухудшению качества квартиры, указана в исследовательской части по третьему вопросу данного заключения, которая согласно расчета, приведенного в Приложении к экспертному заключению (Локальная смета (№)), составляет 338 047,70 руб. (Триста тридцать восемь тысяч сорок семь рублей) 70 коп. По смыслу положений ст. 86 ГПК РФ экспертное заключение является одним из важных доказательств по делу, поскольку оно отличается использованием специальных познаний и научными методами исследования, тем не менее, суд при наличии в материалах рассматриваемого дела заключения эксперта, не может пренебрегать иными добытыми по делу доказательствами, в связи с чем, законодателем в ст. 67 ГПК РФ закреплено правило о том, что ни одно доказательство не имеет для суда заранее установленной силы, а в положениях ч. 3 ст. 86 ГПК РФ отмечено, что заключение эксперта для суда необязательно и оценивается наряду с другими доказательствами. Суд оценивает экспертное заключение с точки зрения соблюдения процессуального порядка назначения экспертизы, соблюдения процессуальных прав лиц, участвующих в деле, соответствия заключения поставленным вопросам, его полноты, обоснованности и достоверности в сопоставлении с другими доказательствами по делу. Оценивая полученное заключение судебной экспертизы, сопоставив его с совокупностью других доказательств по гражданскому делу, суд не находит оснований не доверять выводам эксперта, предупрежденного об уголовной ответственности, имеющих надлежащий опыт проведения такого рода экспертиз и квалификацию. Выводы заключения согласуются с иными имеющимися в материалах гражданского дела доказательствами, что позволяет суду положить его в основу судебного решения. В рамках рассмотрения настоящего дела юридически значимым обстоятельством является отнесение требований, упомянутых в экспертном заключении стандартов и сводов правил, нарушенных ответчиком, к тем требованиям, которые обычно предъявляются к качеству соответствующих работ при строительстве квартиры. Исходя из положений п. 3.23 «СП 48.13330.2019. Свод правил. Организация строительства. СНиП 12-01-2004», утвержденных Приказом Минстроя России от 24.12.2019 № 861/пр, к участникам строительства относятся застройщик, технический заказчик, генеральная подрядная организация, подрядные организации, эксплуатирующие организации, органы государственного строительного надзора, проектные организации и т.д.). Согласно п. 4.2. СП 48.13330.2019, действия участников строительства, работы, выполняемые в процессе строительства, реконструкции, капитального ремонта, сноса, их результаты должны обеспечивать соответствие завершенных строительством объектов утвержденной проектной документации, ограничениям и требованиям, установленным разрешенным использованием земельного участка (градостроительного плана земельного участка), требованиям технических регламентов и при этом обеспечивать безопасность для третьих лиц и окружающей среды, выполнение требований безопасности труда, сохранности объектов культурного наследия. На основании пункта 1 статьи Закона Российской Федерации от 7 февраля 1992 г. № 2300-1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Так, в соответствии с пунктом 2.2. договора участия в долевом строительстве объекта недвижимости стороны по настоящему делу согласовали общие характеристики квартиры (подъезд, этаж, проектную площадь, расположение на плане этажа), а также то, что отделочные работы и оборудование подлежат выполнению и установке в соответствии с проектом, выполняются в соответствии с договором, действующими строительными нормами и правилами и определяются сторонами в технической характеристике. В приложении № 3 к договору участия в долевом строительстве объекта недвижимости указаны технические характеристики многоквартирного жилого дом, основные характеристики жилого помещения и его техническое состояние. При этом, описание технического состояния помещения носит общий характер и не содержит ссылок на конкретные нормативные требования. Исходя из буквального толкования указанного пункта договора, качество квартиры, передаваемой истцам, должно соответствовать проектной документации, которая, в свою очередь, не должна противоречить требованиям документов в области стандартизации. При этом условиями договора не предусмотрено, что при выполнении застройщиком работ допускаются строительные дефекты или иные отступления от условий договора, наличие которых ответчиком не опровергнуто. В соответствии с пунктом 12 части 1 статьи 2 Федерального закона от 29 июня 2015 г. № 162-ФЗ «О стандартизации в Российской Федерации» (далее по тексту – Федеральный закон № 162-ФЗ) стандарт организации - документ по стандартизации, утвержденный юридическим лицом, в том числе государственной корпорацией, саморегулируемой организацией, а также индивидуальным предпринимателем для совершенствования производства и обеспечения качества продукции, выполнения работ, оказания услуг. В соответствии со статьей 21 Федерального закона № 162-ФЗ стандарты организаций разрабатываются организациями самостоятельно исходя из необходимости их применения для обеспечения целей, указанных в статье 3 настоящего Федерального закона (ч.1). Стандарты организаций и технические условия разрабатываются с учетом соответствующих документов национальной системы стандартизации (ч.2). Технические условия разрабатываются изготовителем и (или) исполнителем и применяются в соответствии с условиями, установленными в договорах (контрактах) (ч.3). Порядок разработки, утверждения, учета, изменения, отмены и применения стандартов организаций и технических условий устанавливается организациями самостоятельно с учетом применимых принципов, предусмотренных статьей 4 настоящего Федерального закона (ч.4). Проект стандарта организации, а также проект технических условий перед их утверждением может представляться в соответствующий технический комитет по стандартизации или проектный технический комитет по стандартизации для проведения экспертизы, по результатам которой технический комитет по стандартизации или проектный технический комитет по стандартизации готовит соответствующее заключение (ч.5). Одними из целей и принципов стандартизации является повышение качества продукции, выполнения работ, оказания услуг и повышение конкурентоспособности продукции российского производства (пункт 6 части 1 статьи 3 Федерального закона № 162-ФЗ), добровольность применения документов по стандартизации, соответствие документов по стандартизации действующим на территории Российской Федерации техническим регламентам, непротиворечивость национальных стандартов друг другу (пункты 1, 8, 9 статьи 4 Федерального закона № 162-ФЗ). Таким образом, судом установлено, что требования, упомянутые в экспертном заключении стандартов и сводов правил, нарушенных ответчиком, являются теми требованиями, которые обычно предъявляются к качеству соответствующих работ при строительстве квартиры. Из экспертного заключения судом установлено, что перечисленные в нем недостатки жилого помещения, возникли по вине застройщика и привели к ухудшению качества принадлежащего истцу жилого помещения. В соответствии со ст. , 56 ГПК РФ , гражданский процесс носит состязательный характер, 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Как разъяснил Пленум Верховного Суда РФ в пункте 28 Постановления «О рассмотрении судами гражданских дел по спорам о защите прав потребителей» № 17 от 28.06.2012,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 (пункт 4 статьи , пункт 5 статьи , пункт 5 статьи 23.1 , пункт 6 статьи Закона о защите прав потребителей, статья 1098 ГК РФ ). Ответчиком в ходе рассмотрения дела не представлено каких-либо надлежащих доказательств, опровергающих наличие указанных выше недостатков спорного жилого помещения, свою вину в их образовании, а также наличие причинно-следственной связи между названными недостатками и ухудшением качества квартиры. Таким образом, суд, проанализировав установленные обстоятельства, оценив доказательства по гражданскому делу в их совокупности, руководствуясь указанными нормами материального права и заключением судебной экспертизы приходит к выводу об установлении факта наличия недостатков в выполненных застройщиком ООО СЗ «Выбор-Восток» работах при строительстве квартиры по адресу: &lt;адрес&gt;, в рамках предусмотренного законом гарантийного срока, стоимость устранения которых составляет 338 047,70 рублей, что свидетельствует об обоснованности заявленных ФИО1 исковых требований в указанной части. Исходя из изложенного, в пользу ФИО1 с ответчика подлежит взысканию стоимость устранения строительных недостатков квартиры в сумме 338 047,70 рублей. Частью 2 статьи 10 Закона о долевом строительстве моральный вред, причиненный гражданину - участнику долевого строительства, заключившему договор исключительно для личных, семейных, домашних и иных нужд, не связанных с осуществлением предпринимательской деятельности, вследствие нарушения застройщиком прав гражданина - участника долевого строительства, предусмотренных настоящим Федеральным законом и договором,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гражданином - участником долевого строительства убытков. На основании п. 45 Постановления Пленума Верховного Суда Российской Федерации от 28.06.2012 года №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 При рассмотрении настоящего гражданского дела судом был установлен факт нарушения ответчиком прав истцов и, учитывая характер допущенных нарушений, с ответчика в пользу истца следует взыскать компенсацию морального вреда в размере 3000,00 рублей. В соответствии со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В соответствии со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Истец ФИО1 просит суд взыскать с ответчика ООО СЗ «Выбор-Восток» расходы на оплату услуг представителя в сумме 40000 рублей. В обоснование заявленных требований приложен договор об оказании юридической помощи, заключенный между ФИО1 и Адвокатами Дегтяревым С.П. и Дегтяревой Н.В., квитанции к приходным кассовым ордерам на сумму 40000 рублей. Материалами дела подтверждается, что представителем истца было подготовлено исковое заявление, правовая позиция по делу, уточненное исковое заявление. Кроме того, интересы истца в судебных заседаниях суда первой инстанции 01.10.2024, в котором объявлен перерыв до 02.10.2024, 18.11.2024, 13.03.2025 представляла представитель адвокат Дегтярева Н.В. Согласно ст. 48 ГПК РФ , граждане вправе вести свои дела в суде лично или через представителей. Личное участие в деле гражданина не лишает его права иметь по этому делу представителя. Дела организаций ведут в суде их органы, действующие в пределах полномочий, предоставленных им федеральным законом, иными правовыми актами или учредительными документами, либо представители. В п. 12 Постановления Пленума Верховного Суда РФ от 21.01.2016 года N 1 "О некоторых вопросах применения законодательства о возмещении издержек, связанных с рассмотрением дела" разъяснено, что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 1 ст. 100 ГПК РФ ).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(п.13 Постановление Пленума Верховного Суда РФ от 21.01.2016 N 1 "О некоторых вопросах применения законодательства о возмещении издержек, связанных с рассмотрением дела"). Согласно п. 11 названного Постановления Пленума Верховного Суда РФ,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 35 ГПК РФ , статьи , 45 КАС РФ , статьи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 (ч. 3) Конституции Российской Федерации. Именно поэтому в ч. 1 ст. 100 ГПК РФ речь идет, по существу, об обязанности суда установить баланс между правами лиц, участвующих в деле. Изучив предоставленные доказательства и учитывая отсутствие мотивированных возражений ответчика, а также тех обстоятельств, что заявленные и понесенные истцом расходы на оплату услуг представителя не превышают минимальных размеров вознаграждения за конкретные виды юридической помощи, установленные постановлением совета адвокатской палаты Воронежской области от 12.12.2019 "О минимальных ставках вознаграждения за оказываемую юридическую помощь", суд считает необходимым взыскать с ООО СЗ «Выбор-Восток» расходы на оплату услуг представителя истца в полном объеме в сумме 40000 рублей, полагая указанную сумму соответствующей как объему оказанной помощи, так и принципу разумности и справедливости. Помимо указанного, на основании ст.ст. , 103 ГПК РФ с ответчика в доход соответствующего бюджета подлежит взысканию определенная согласно ст. 333.19 . НК РФ государственная пошлина в сумме 13 951,00 рублей. Руководствуясь ст.ст. , , - 198 ГПК РФ , суд РЕШИЛ: Исковые требования ФИО1 к обществу с ограниченной ответственностью специализированный застройщик «Выбор-Восток» о взыскании стоимости устранения строительных недостатков квартиры, компенсации морального вреда, судебных расходов, удовлетворить. Взыскать с общества с ограниченной ответственностью специализированный застройщик «Выбор-Восток» ОГРН&lt;***&gt;, ИНН&lt;***&gt;, в пользу ФИО1, (ДД.ММ.ГГГГ) года рождения, паспорт (№), расходы на устранение строительных недостатков в размере 338 047,70 рублей, компенсацию морального вреда в размере 3000,00 рублей, судебные расходы в размере 40000,00рублей. Взыскать с общества с ограниченной ответственностью специализированный застройщик «Выбор-Восток» ОГРН&lt;***&gt;, ИНН&lt;***&gt;, в доход бюджета городского округа город Воронеж государственную пошлину в размере 13 951,00 рублей. Решение может быть обжаловано в апелляционном порядке в Воронежский областной суд в течение месяца со дня его принятия в окончательной форме через Коминтерновский районный суд города Воронежа. Судья Н.А. Каширина Решение принято в окончательной форме 24 марта 2025 года Суд: Коминтерновский районный суд г. Воронежа (Воронежская область) (подробнее) Ответчики: ООО СЗ "ВЫБОР-ВОСТОК" (подробнее) Судьи дела: Каширина Наталья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