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Требований п.7.1.8, п.7.3.1, п.7.3.5 и п.7.5.3 СП 71.13330.2017 «Изоляционные и отделочные покрытия. Актуализированная редакция СНиП 3.04.01-87» - при обследовании на откосах оконных блоков в жилых комнатах (гостиная и детская), окрашенных водоэмульсионными составами, выявлены дефекты в виде трещин на окрашенных поверхностях и отслоений окрасочного слоя со шпатлевкой (причины - дефекты подготовки основания перед шпатлевкой и окраской.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Требований п. 6.6.3 ГОСТ 125G4-2015 «Панели стеновые внутренние бетонные и железобетонные для жилых и общественных зданий. Общие технические условия (Переиздание)» - при обследовании стен двухметровой рейкой, на отдельных стенах помещений квартиры выявлены отклонения от прямолинейности поверхностей железобетонных панелей, превышающие допустимые предельные отклонения в 5 мм., а именно: - в жилой комнате (гостиная) - в средней части стены (стена с дверным блоком), отклонения глубиной 6 мм., на участке площадью 1,56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Требований п.7.1.8, п.7.1.9. (Табл.7.1.) и п.7.4.3. СП 71.13330.2017 «Изоляционные и отделочные покрытия. Актуализированная редакция СНиП 3.04.01-87» - на момент обследования стен санузла и ванной комнатой квартиры, облицованных керамической плиткой, выявлены дефекты в виде отслоения отдельных плиток от стен (отсутствие сцепления между плиткой и стеной - при простукивании изменение характера звучания («глухой» звук)). К причинам образования данного дефекта относятся - неправильный подбор раствора, не очищенная поверхность от пыли или некачественная обработка оснований из монолитного или сборного железобетона.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3.04.01-87» и п.7.3 TP 114-01 «Технология устройства покрытия пола из ламинат-паркета. Технические рекомендации» - при обследовании полов в помещении квартиры выявлены просветы между двухметровой рейкой и поверхностью пола, превышающие допустимые предельные отклонения в 2 мм., а именно: - в коридоре (смежном с санузлом, ванной комнатой и помещением кухни) -просветы глубиной 3 мм., на площади 0,80 кв.м.; - в коридоре (смежном с жилыми комнатами (детская и спальня)) - просветы глубиной 4 мм., на площади 5,05 кв.м.; - в жилой комнате (гостиная) - просветы глубиной 4 мм., на площади 0,48 кв.м.; - в жилой комнате (детская) - просветы глубиной 4 мм., на площади 4,59 кв.м.; - в жилой комнате (спальня) - просветы глубиной 4 мм., на площади 0,25 кв.м.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Требований п.7.4.13 СП 71.13330.2017 «Изоляционные и отделочные покрытия. Актуализированная редакция СНиП 3.04.01-87» - при обследовании поверхности полов из керамической плитки в санузле и ванной комнате квартиры на отдельных участках зафиксирована различная ширина затирочного шва.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Требований п.4.3.3.2. ГОСТ 28786-2019 «Блоки дверные деревянные и комбинированные. Определение свойств в различных климатических условиях (с Поправкой)» - при измерительном контроле межкомнатных дверных блоков квартиры выявлены отклонения от вертикали, превышающие допустимые предельные отклонения в 2,0 мм. на 1 м. длины блока, а именно: - в жилой комнате (детская) - отклонение дверного блока от вертикали составляет 3 мм, на 1 метр (6 на высоту блока); - в санузле - отклонение дверного блока от вертикали составляет 2,5 мм. на 1 метр (5 мм. на высоту блока); - в помещении кухни - отклонение дверного блока от вертикали составляет 3,5 мм. на 1 метр (7 мм на высоту блока).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Требований п.Г.6 Приложения «Г» ГОСТ 31173-2016 «Блоки дверные стальные. Технические условия» - при измерительном контроле входного металлического дверного блока квартиры выявлены отклонения от вертикали, превышающие допустимые предельные отклонения в 1,5 мм. на 1 м. длины блока - отклонение дверного блока от вертикали составляет 3,5 мм. на 1 метр (7 мм. на высоту блока).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Требований п.5,1.6. ГОСТ 23166-99 «Блоки оконные. Общие технические условия» - при обследовании установлено, что оконные блоки в жилых комнатах (гостиная и детская) имеют по две глухие створки из трех.</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Требований Табл. Ж1 приложения Ж ГОСТ 34378-2018 «Конструкции ограждающие светопрозрачные. Окна и двери. Производство монтажных работ, контроль и требования к результатам работ» - при измерительном контроле оконных и балконных (дверных) блоков в помещениях квартиры, выявлены отклонения от вертикали, превышающие допустимые предельные отклонения в 3,0 мм. на высоту изделия, а именно: - в помещении кухни - отклонение балконного (дверного) блока от вертикали составляет 4 мм. на высоту изделия; - в жилой комнате (гостиная) - отклонение оконного блока от вертикали составляет 5 мм. на высоту изделия; - в жилой комнате (спальня) - отклонение балконного (дверного) блока от вертикали составляет 7 мм. на высоту изделия.</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Требований п.5.3.2.2.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остекление лоджии (выход с помещения кухни) квартиры имеет две глухие створки из трех, а на лоджии (выход с жилой комнаты (спальня)) имеет три глухие створки из пяти.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Требований п.5.3.2.5. (в)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защитные ограждения двух лоджий квартиры - отсутствуют.</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Требований п.4.43. ГОСТ 21519-2003 «Блоки оконные из алюминиевых сплавов. Технические условия» - осмотром установлено наличие негерметичных соединений заполнений нижнего экрана из стекла и ЦСП (цементно-стружечная плита), с элементами стоечно-ригельной системы остекления лоджии (выход с жилой комнаты (спальня)) - местами уплотнительные прокладки установлены не по всему периметру (с зазорами). Недостатки (дефекты) в строительных и отделочных работах в помещениях квартиры № ....., расположенной по адресу: &lt;адрес&gt; выявленные экспертом в ходе натурного осмотра и описанные в исследовательской части по второму вопросу, являются явными дефектами, т.к. для их выявления в нормативной документации, обязательной для данного вида контроля, предусмотрены соответствующие правила, методы и средства. Дефекты визуально видимы и подвершены контролю и измерениям их параметров. Недостатки (дефекты) в строительных и отделочных работах в помещениях квартиры № ....., расположенной в многоквартирном доме по адресу: &lt;адрес&gt;, выявленные экспертом в ходе натурного осмотра, носят производственный характер (производственные дефекты), являются следствием несоблюдения застройщиком при производстве работ требований нормативно- технических документов (СНиП, СП и ГОСТ), обычно предъявляемых требований к качеству строительных работ и проектных решений. Техническое исполнение заполнений оконных блоков квартиры, расположенной в многоквартирном доме по адресу: &lt;адрес&gt;, относится к комбинированным оконным блокам с открывающимися и «глухими» створками. На основании расчета, приведенного в Приложении к экспертному заключению (Локальная смета N l),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в квартире, расположенной в многоквартирном доме по адресу: &lt;адрес&gt; на момент производства экспертизы с учетом НДС, составляет: 282719,90 рублей. На основании расчета, приведенного в Приложении к экспертному заключению (Локальная смета №2), стоимость работ и материалов, необходимых для замены «глухих» створок остекления в квартире, расположенной в многоквартирном доме по адресу: &lt;адрес&gt;, на момент производства экспертизы с учетом НДС, составляет: 81 900,59 руб. Уменьшение покупной цены квартиры № ....., расположенной по адресу: &lt;адрес&gt; в ценах актуальных на момент производства экспертизы, равняется стоимости затрат,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в выполненных застройщиком строительных и отделочных работах в рассматриваемой квартире, что составляет (см. Локальную смету №1): 282 719,90 руб. На основании расчета, приведенного в Приложении к экспертному заключению (Локальная смета №1),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в квартире, расположенной в многоквартирном доме по адресу: &lt;адрес&gt;, на момент производства экспертизы с учетом НДС и без учета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 коммунального хозяйства Российской Федерации от 07.07.2022 № 557/пр), составляет: 282 719,90 руб. На основании расчета, приведенного в Приложении к экспертному заключению (Локальная смета №3), стоимость работ и материалов, необходимых для устранения строительных недостатков, связанных с нарушениями строительных норм и правил, обычно предъявляемых к качеству строительных и отделочных работ в квартире, расположенной в многоквартирном доме по адресу: &lt;адрес&gt;, на момент производства экспертизы с учетом НДС и с учетом коэффициента 1,5 к оплате труда рабочих (производство ремонтно-строительных работ осуществляется в жилых помещениях без расселения, приказ Министерства строительства и жилищно- коммунального хозяйства Российской Федерации от 07.07.2022 № 557/пр), составляет: 365 989,50 руб. Работы, направленные на устранение строительных недостатков, возникших по причине нарушения Подрядчиком (Застройщиком) строительных норм и правил, обычно предъявляемых к качеству строительных и отделочных работ, в том числе, в результате допущенных при производстве работ отступлений от проектных решений, на объектах строительства, по сути своей относятся - к текущему ремонту, В связи с чем, коэффициент в размере 1,5, учитывающий влияния условий производства работ, а именно «Производство ремонтно-строительных работ в жилых помещениях без расселения» - в рассматриваемого случае не применяется. (л.д.151-233). Оценив по правилам статьи Гражданского процессуального кодекса Российской Федерации заключение эксперта, суд приходит к выводу о принятии его в качестве допустимого доказательства, поскольку заключение эксперта соответствует требованиям ст. 86 ГПК РФ , ст. 25 Федерального закона от 31 мая 2001 года N 73-ФЗ "О государственной судебно-экспертной деятельности в Российской Федерации", содержит подробное описание проведенного исследования, анализ имеющихся данных, результаты исследования, ссылку на использованную литературу, конкретные ответы на поставленные судом вопросы, не допускает неоднозначного толкования. Эксперт является компетентным и соответствует требованиям сертификации по соответствующим специальностям, входящим в предмет исследования, предупрежден об уголовной ответственности за дачу заведомо ложного заключения, предусмотренной ст. 307 УК РФ . При этом согласно части 1 статьи 5 Федерального закона № 384-ФЗ «Технический регламент о безопасности зданий и сооружений» безопасность зданий и сооружений, а также связанных со зданиями и сооружениями процессов проектирования (включая изыскания), строительства, монтажа, наладки, эксплуатации и утилизации (сноса) обеспечивается посредством установления соответствующих требованиям безопасности проектных значений параметров зданий и сооружений и качественных характеристик в течение всего жизненного цикла здания или сооружения, реализации указанных значений и характеристик в процессе строительства, реконструкции, капитального ремонта (далее также -строительство) и поддержания состояния таких параметров и характеристик на требуемом уровне в процессе эксплуатации, консервации и сноса. В силу части 2 статьи 5 Технического регламента о безопасности зданий и сооружений безопасность зданий и сооружений, а также связанных со зданиями и с сооружениями процессов проектирования (включая изыскания), строительства, монтажа, наладки, эксплуатации и утилизации- (сноса) обеспечивается посредством соблюдения требований настоящего Федерального закона и требований стандартов и сводов правил, включенных в указанные в частях 1 и 7 статьи 6 настоящего Федерального закона перечни, или требований специальных технических условий. Частью 1 статьи 6 Технического регламента о безопасности зданий и сооружений предусмотрено, что Правительство Российской Федерации утверждает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настоящего Федерального закона. Распоряжением Правительства Российской Федерации от 21.06.2010 № 1047-р утвержден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от 30.12.2009 № 384-ФЗ «Технический регламент о безопасности зданий и сооружений», в который поименованные в заключении судебной экспертизы ГОСТы, СНиП и СП не включены. Вместе с тем, в пункте 2 постановления Пленума Верховного Суда Российской Федерации от 28 июня 2012 г. N 17 "О рассмотрении судами гражданских дел по спорам о защите прав потребителей" разъяснено, что если отдельные виды отношений с участием потребителей регулируются и специальными законами Российской Федерации, содержащими нормы гражданского права (например, договор участия в долевом строительстве, договор страхования, как личного, так и имущественного, договор банковского вклада, договор перевозки, договор энергоснабжения), то к отношениям, возникающим из таких договоров, Закон Российской Федерации от 7 февраля 1992 г. N 2300-1 "О защите прав потребителей" применяется в части, не урегулированной специальными законами. Понятие недостатка товара (работы, услуги), приведено в преамбуле Закона о защите прав потребителей, в силу которой недостатком товара является его несоответствие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описанию. По смыслу указанного положения, если в договоре отсутствуют конкретные требования к качеству товара (работы, услуги), то оно должно соответствовать обычно предъявляемым требованиям. В договоре купли продажи не определены требования к качеству работ по обустройству дверных блоков, стен, оконных блоков, однако такие требования изложены, в частности, в СНиПах и ГОСТах, которые поименованы в заключении судебной экспертизы. Условиями договора не предусмотрено, что допускаются строительные дефекты или иные отступления, обнаруженные экспертом, наличие которых ответчиком не опровергнуто.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Таких доказательств ответчиком суду не представлено, равно как и доказательств соответствия объекта строительства договору, заключенному с покупателями. Таким образом, с ответчика подлежат взысканию денежные средства в размере 282719,9 руб., по 141359,95 рублей в пользу каждого истца. То обстоятельство, что истцы пробрели квартиру на основании договора купли-продажи, заключенного с застройщиком, осматривали ее и вправе были отказаться от покупки или потребовать от продавца снижения ее цены, основанием для отказа в удовлетворении исковых требований не является, поскольку приобретение квартиры на основании договора купли-продажи не лишает истцов права предъявить застройщику многоквартирного дома требования, предусмотренные Законом об участии в долевом строительстве в пределах предусмотренного законом гарантийного срока. В соответствии с п. п. 1, 2 ст. 7 Закона об участии в долевом строительстве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В силу ч. 6 ст. 7 Закона об участии в долевом строительстве застройщик обязан устранить выявленные недостатки (дефекты) в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 По смыслу названной правовой нормы, в пределах гарантийного срока устанавливается ответственность именно застройщика за недостатки (дефекты) выполненных работ, выявленных в пределах гарантийного срока. При этом, само по себе соответствие жилого помещения проектной документации не освобождает ответчика от обязанности предоставить объект долевого строительства, качество которого соответствует требованиям технических регламентов. В соответствии с положениями ст. Закона РФ "О защите прав потребителей" с ответчика в пользу истцов подлежит взысканию моральный вред, размер которого определяется судом исходя из конкретных обстоятельств дела, с учетом объема и характера причиненных истцам страданий, степени вины ответчика, иных заслуживающих внимание обстоятельств, а также требований разумности и справедливости, в размере 1000 руб. в пользу каждого истца, в остальной части отказывает. Согласно п.1 ст. Закона РФ "О защите прав потребителей" потребитель при обнаружении недостатков выполненной работы (оказанной услуги) вправе по своему выбору потребовать безвозмездного устранения недостатков выполненной работы (оказанной услуги). Согласно ст. Закона РФ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В силу ст. Закона РФ «О защите прав потребителей»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Поскольку имеет место нарушение установленного законом срока, подлежащего удовлетворению застройщиком в течение десяти дней со дня предъявления соответствующего требования, то на ответчика может быть возложена ответственность, предусмотренная, п.1 ст. Закона РФ «О защите прав потребителей». Таким образом, предусмотренная п. 1 ст. Закона о защите прав потребителей неустойка, которую покупатель вправе взыскать с продавца при невыполнении его законных требований о возмещении убытков, причиненных потребителю вследствие продажи товара ненадлежащего качества, исчисляется от цены товара и не ограничивается размером стоимости устранения недостатков или стоимости товара. Как следует из материалов дела, 16.08.2024 г. истцы направили в адрес ответчика претензию с требованием о соразмерном уменьшении цены договора, которая получена 20.08.2024 г. ( л.д.18-21). Таким образом, претензия получена ответчиком в течение 10 дней, требования истцов не исполнены, соответственно, на сумму исковых требований подлежит начислению неустойка за период с 31.08.2024 г. по 25.03.2025 г. в размере 585 230, 19 руб. (расчет: 282 719,90 х1% х207= 585 230,19). В пункте 65 постановления Пленума Верховного Суда Российской Федерации от 24.03.2016 года N 7 "О применении судами некоторых положений Гражданского кодекса Российской Федерации об ответственности за нарушение обязательств" разъяснено, что по смыслу статьи Гражданского кодекса Российской Федерации,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Установленный п. 6 ст. Закона о защите прав потребителей штраф имеет гражданско-правовую природу и по своей сути является предусмотренной законом мерой ответственности за ненадлежащее исполнение обязательств, то есть является формой предусмотренной законом неустойки. Пунктом 6 ст. Закона о защите прав потребителей предусмотрено, что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50% от суммы, присужденной судом в пользу потребителя. Основанием для взыскания штрафа с ответчика в соответствии с указанной нормой является не удовлетворение требований истцов об устранении недостатков. При определении размера неустойки и штрафа суд принимает во внимание причины длительности рассмотрения спора, учитывает степень вины ответчика в нарушении прав истцов как потребителей, заявление ответчика о снижении размера неустойки, а также то, что выявленные недостатки не свидетельствуют о невозможности проживания в приобретённом жилом помещении и угрозе жизни и здоровья и оценивает данные обстоятельства как исключительные, позволяющие применить положения ст. 333 ГК РФ , а также стоимость устранения выявленных недостатков, объем восстановленного права и определяет к взысканию неустойку в размере 110000 рублей и штраф в размере 20000 рублей в пользу каждого истца, с начислением неустойки от суммы задолженности 1% по день фактической оплаты задолженности. При этом, суд также учитывает, что увеличение истцом исковых требований последовало в судебном заседании 25 марта 2025г., после ознакомления с судебной экспертизой, в претензии от 16.08.2024 г. испрашивался размер денежных средств в меньшем размере, чем в уточном исковом заявлении, готовность ответчика на выплату недостатков, а также баланс интересов потребителя и застройщика в связи с недружественными действиями иностранных государств и международных организаций, принятых мер в отношении российских юридических лиц. В соответствии со ст. 100 ГПК РФ ,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Как указал Верховный Суд РФ в Постановлении Пленума от 21 января 2016 года №1 «О некоторых вопросах применения законодательства о возмещении издержек, связанных с рассмотрением дела»,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Согласно разъяснениям, изложенным в п. 10 Постановления Пленума Верховного Суда РФ от 21.01.2016 N 1 «О некоторых вопросах применения законодательства о возмещении издержек, связанных с рассмотрением дела»,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Согласно п. 11 указанного Постановления Пленума Верховного Суда РФ от 21.01.2016 N 1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При определении размера судебных расходов подлежащих взысканию в пользу истца, суд оценивает сложность спора, продолжительность судебных заседаний, цены, действующие в регионе на сходные услуги, разумность, статус представителя истцов - адвокат и определяет ко взысканию в пользу истца ФИО1 расходы на представителя в размере 16 000 рублей, в остальной части отказывает. При этом, суд определяет за подготовку иска – 10000 рублей, участие представителя в судебном заседании 13.11.2024 г., продолжительностью 5 минут – 2000 рублей, участие представителя в судебном заседании 25.03.2025 г.- 4000 рублей. Факт несения расходов документально подтвержден договором об оказании юридической помощи от 02.08.2024, квитанциями к приходно-кассовым ордерам, актом о приемке оказанных услуг от 25.03.2025 г. В части взыскания расходов на досудебное исследование в общем размере 50 000 рублей, суд приходит к следующему. Согласно абзацу 2 пункта 2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перечень судебных издержек, предусмотренный указанными кодексами, не является исчерпывающим. Так, расходы, понесенные истцом, административным истцом, заявителем в связи с собиранием доказательств до предъявления искового заявления, административного искового заявления, заявления в суд, могут быть признаны судебными издержками, если несение таких расходов было необходимо для реализации права на обращение в суд и собранные до предъявления иска доказательства соответствуют требованиям относимости, допустимости. Например, истцу могут быть возмещены расходы, связанные с легализацией иностранных официальных документов, обеспечением нотариусом до возбуждения дела в суде судебных доказательств (в частности, доказательств, подтверждающих размещение определенной информации в сети Интернет), расходы на проведение досудебного исследования состояния имущества, на основании которого впоследствии определена цена предъявленного в суд иска, его подсудность. Заявленные ко взысканию расходы в размере 50 000 рублей на проведение исследования № Э-1164-24-ДЕА-КФ от 14.08.2024 года (ООО КОНСАЛТ ЧЕРНОЗЕМЬЯ»), суд определяет подлежащими взысканию с ответчика в пользу ФИО1, поскольку документально указанные расходы подтверждены, понесены истцом вынуждено (л.д. 22-106). Как разъяснено в пункте 28 постановления Пленума Верховного Суда Российской Федерации от 28 июня 2012 г. N 17 "О рассмотрении судами гражданских дел по спорам о защите прав потребителей",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Гражданского кодекса Российской Федерации). Таким образом, истцами правомерно, в том числе для определения цены иска, приложено к иску досудебное исследование. Кроме того, суд принимает во внимание, что стоимость устранения недостатков, определенная в досудебном исследовании, ниже чем стоимость недостатков определенных в судебной экспертизе, что свидетельствует о добросовестности истцов, возможности урегулирования спора в досудебном порядке, что сделано не было. Доказательства завышенности стоимости досудебного исследования в г.Воронеже, в нарушении ст. 56 ГПК РФ , суду не представлены. В соответствии со ст. 333.19 НК РФ с ответчика подлежит взысканию государственная пошлина в бюджет в размере 25 359 руб. На основании выше изложенного и руководствуясь ст. ст. , - 199 ГПК РФ , суд РЕШИЛ: Взыскать с акционерного общества «Специализированный застройщик «Домостроительный комбинат-2» в пользу ФИО1 (паспорт № .....) 141359,95 рублей в счет соразмерного уменьшения цены договора, 50 000 рублей затраты на проведение исследования, компенсацию морального вреда в размере 1000 рублей, неустойку за нарушение срока удовлетворения требований в размере 110 000 рублей, за период с 31.08.2024 г. по 25.03.2025 г. продолжив начисление неустойки с 26.03.2025 г. в размере 1% от суммы задолженности в размере 141359,95 рублей по день фактической оплаты задолженности, штраф в размере 20 000 рублей, расходы на представителя в размере 16 000 рублей, а всего 338 359 (триста тридцать восемь тысяч триста пятьдесят девять) рублей 95 коп. Взыскать с акционерного общества «Специализированный застройщик «Домостроительный комбинат-2» в пользу ФИО2 (паспорт № .....) 141359,95 рублей в счет соразмерного уменьшения цены договора, компенсацию морального вреда в размере 1000 рублей, неустойку за нарушение срока удовлетворения требований в размере 110 000 рублей, за период с 31.08.2024 г. по 25.03.2025 г. продолжив начисление неустойки с 26.03.2025 г. в размере 1% от суммы задолженности в размере 141359,95 рублей по день фактической оплаты задолженности, штраф в размере 20 000 рублей, а всего 272 359 ( двести семьдесят две тысячи триста пятьдесят девять) рублей 95 коп. В остальной части отказать. Взыскать с акционерного общества «Специализированный застройщик «Домостроительный комбинат-2» в бюджет государственную пошлину в размере 25 359 ( двадцать пять тысяч триста пятьдесят девять) рублей. Решение может быть обжаловано в Воронежский областной суд в течение месяца со дня изготовления решения в окончательной форме. Судья И.В. Дорофеева мотивированное решение изготовлено 02.04.2025 г. Суд: Железнодорожный районный суд г. Воронежа (Воронежская область) (подробнее) Ответчики: АО "СЗ "ДСК-2" (подробнее) Судьи дела: Дорофеева Инна Валентиновна (судья) (подробнее) Последние документы по делу: Решение от 18 сентября 2025 г. по делу № 2-157/2025 Решение от 17 августа 2025 г. по делу № 2-157/2025 Решение от 1 июня 2025 г. по делу № 2-157/2025 Решение от 13 апреля 2025 г. по делу № 2-157/2025 Решение от 24 марта 2025 г. по делу № 2-157/2025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