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п.7.1.3, п.7.3,1, п.7.3.5 и п.7.5.3 СП 71.13330.2017 «Изоляционные и отделочные покрытия. Актуализированная редакция СНиП 3.04.01-87»- при обследовании на откосах оконного блока в жилой комнате (спальня), окрашенных водоэмульсионными составами, выявлены дефекты в виде трещин на опрошенных поверхностях и отслоений окрасочного слоя со шпатлевкой (причины - дефекты подготовки основания перед шпатлевкой и окраской).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а именно: - в жилой комнате (гостиная) - на нижней и в верхней части стены (стена противоположная от входа в помещение) отклонения глубиной 7 и 8 мм,, на участках площадью 2,03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п.7.4.13 и п.7.4.17 (Табл. 7.6) СП 71.13330.2017 «Изоляционные и отделочные покрытия. Актуализированная редакция СИиП 3.04.01-87» - при измерительном контроле на отдельных стенах санузла квартиры, облицованных керамическими плитками, выявлены неровности плоскости облицовки в 3 мм., превышающие допустимые предельные отклонения в 2 мм.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г.4.3.3.2.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жилой комнате (гостиная) - отклонение дверного блока от вертикали составляет 2,5 мм. на 1 метр (5 на высоту блока); - в санузле - отклонение дверного блока от вертикали составляет 2,5 мм. на 1 метр (5 мм, на высоту блока).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3 мм. на 1 метр (5 мм. на высоту блока).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оконный блок в жилой комнате (спальня) имеет две глухие створки из трех.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Табл. Ж1 приложения Ж ГОСТ 34378-2018 «Конструкции ограждающие светопрозрачные. Окна и двери. Производство монтажных работ, контроль и требования к результатам работ» - при измерительном контроле оконного блока в жилой комнате (спальня) квартиры, выявлены отклонения от вертикали в 4 мм., превышающие допустимые предельные отклонения в 3,0 мм. на высоту изделия.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при обследовании установлено, что остекления двух лоджий квартиры имеют по две глухие створки из четырех.</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защитные ограждения двух лоджий квартиры - отсутствуют.</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Требований п.4.4.3. ГОСТ 21519-2003 «Блоки оконные из алюминиевых сплавов. Технические условия» - осмотром установлено наличие негерметичных соединений заполнений нижнего экрана из стекла и ЦСП (цементно-стружечная плита), с элементами стоечно-ригельной системы остекления лоджии (выход с жилой комнаты (гостиная)) - местами уплотнительные прокладки установлены не по всему периметру (с зазорами). Недостатки (дефекты) в строительных и отделочных работах в помещениях квартиры № ....., расположенной по адресу: &lt;адрес&gt;, выявленные экспертом в ходе натурного осмотра и, описанные в исследовательской части по второму вопросу, являются явными дефектами, т.к. для их выявления в нормативной документации, обязательной для данного вида контроля, предусмотрены соответствующие правила, методы и средства. Дефекты визуально видимы и подвержены контролю и измерениям их параметров. Недостатки (дефекты) в строительных и отделочных работах в помещениях квартиры № ....., расположенной в многоквартирном доме по адресу: &lt;адрес&gt;, выявленные экспертом в ходе натурного осмотра, носят производственный характер (производственные дефекты), являются следствием несоблюдения застройщиком при производстве работ требований нормативно- технических документов (СНиП, СП и ГОСТ), обычно предъявляемых требований к качеству строительных работ. Техническое исполнение заполнений оконных блоков квартиры, расположенной в многоквартирном доме по адресу: &lt;адрес&gt;, относится к комбинированным оконным блокам с открывающимися и «глухими» створками. На основании расчета, приведенного в Приложении к экспертному заключению (Локальная смета № 1),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выполненных застройщиком работах в квартире, расположенной в многоквартирном доме по адресу: &lt;адрес&gt;, на момент производства экспертизы с учетом НДС, составляет: 170135,53 руб. На основании расчета, приведенного в Приложении к экспертному заключению (Локальная смета №2), стоимость работ и материалов, необходимых для замены «глухих» створок остекления в квартире, расположенной в многоквартирном доме по адресу: &lt;адрес&gt;, на момент производства экспертизы с учетом НДС, составляет: 56 613,80 руб. Уменьшение покупной цены квартиры № ....., расположенной по адресу: &lt;адрес&gt;, в ценах актуальных на момент производства экспертизы, равняется стоимости затрат,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выполненных застройщиком работах в рассматриваемой квартире, что составляет (см. Локальную смету №1): 170 135,53 руб. На основании расчета, приведенного в Приложении к экспертному заключению (Локальная смета №1),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выполненных застройщиком работах в квартире, расположенной в многоквартирном доме по адресу: &lt;адрес&gt;, на момент производства экспертизы с учетом НДС и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170 135,53 руб. На основании расчета, приведенного в Приложении к экспертному заключению (Локальная смета №3),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выполненных застройщиком работах в квартире, расположенной в многоквартирном доме по адресу: &lt;адрес&gt;, на момент производства экспертизы с учетом НДС и с учетом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217 778,44 руб. Работы, направленные на устранение строительных недостатков, возникших по причине нарушения Подрядчиком (Застройщиком) строительных норм и правил, обычно предъявляемых к качеству строительных и отделочных работ, в том числе, в результате допущенных при производстве работ отступлений от проектных решений, на объектах строительства, по сути своей относятся - к текущему ремонту. В связи с чем, коэффициент в размере 1,5, учитывающий влияния условий производства работ, а именно «Производство ремонтно-строительных работ в жилых помещениях без расселения»- в рассматриваемом случае не применяется (л.д. 136-190). Оценив по правилам статьи Гражданского процессуального кодекса Российской Федерации заключение эксперта, суд приходит к выводу о принятии его в качестве допустимого доказательства, поскольку заключение эксперта соответствует требованиям ст. 86 ГПК РФ , ст. 25 Федерального закона от 31 мая 2001 года N 73-ФЗ "О государственной судебно-экспертной деятельности в Российской Федерации", содержит подробное описание проведенного исследования, анализ имеющихся данных, результаты исследования, ссылку на использованную литературу, конкретные ответы на поставленные судом вопросы, не допускает неоднозначного толкования. Эксперт является компетентным и соответствует требованиям сертификации по соответствующим специальностям, входящим в предмет исследования, предупрежден об уголовной ответственности за дачу заведомо ложного заключения, предусмотренной ст. 307 УК РФ . При этом согласно части 1 статьи 5 Федерального закона № 384-ФЗ «Технический регламент о безопасности зданий и сооружений» безопасность зданий и сооружений, а также связанных со зданиями и сооружениями процессов проектирования (включая изыскания), строительства, монтажа, наладки, эксплуатации и утилизации (сноса) обеспечивается посредством установления соответствующих требованиям безопасности проектных значений параметров зданий и сооружений и качественных характеристик в течение всего жизненного цикла здания или сооружения, реализации указанных значений и характеристик в процессе строительства, реконструкции, капитального ремонта (далее также -строительство) и поддержания состояния таких параметров и характеристик на требуемом уровне в процессе эксплуатации, консервации и сноса. В силу части 2 статьи 5 Технического регламента о безопасности зданий и сооружений безопасность зданий и сооружений, а также связанных со зданиями и с сооружениями процессов проектирования (включая изыскания), строительства, монтажа, наладки, эксплуатации и утилизации- (сноса) обеспечивается посредством соблюдения требований настоящего Федерального закона и требований стандартов и сводов правил, включенных в указанные в частях 1 и 7 статьи 6 настоящего Федерального закона перечни, или требований специальных технических условий. Частью 1 статьи 6 Технического регламента о безопасности зданий и сооружений предусмотрено, что Правительство Российской Федерации утверждает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настоящего Федерального закона. Распоряжением Правительства Российской Федерации от 21.06.2010 № 1047-р утвержден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от 30.12.2009 № 384-ФЗ «Технический регламент о безопасности зданий и сооружений», в который поименованные в заключении судебной экспертизы ГОСТы, СНиП и СП не включены. Вместе с тем, в пункте 2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разъяснено, что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Российской Федерации от 7 февраля 1992 г. N 2300-1 "О защите прав потребителей" применяется в части, не урегулированной специальными законами. Понятие недостатка товара (работы, услуги), приведено в преамбуле Закона о защите прав потребителей, в силу которой недостатком товара является его несоответствие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описанию. По смыслу указанного положения, если в договоре отсутствуют конкретные требования к качеству товара (работы, услуги), то оно должно соответствовать обычно предъявляемым требованиям. В договоре купли продажи не определены требования к качеству работ по обустройству дверных блоков, стен, оконных блоков, однако такие требования изложены, в частности, в СНиПах и ГОСТах, которые поименованы в заключении судебной экспертизы. Условиями договора не предусмотрено, что допускаются строительные дефекты или иные отступления, обнаруженные экспертом, наличие которых ответчиком не опровергнуто.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Таких доказательств ответчиком суду не представлено, равно как и доказательств соответствия объекта строительства договору, заключенному с покупателями. Таким образом, с ответчика подлежат взысканию денежные средства в размере 170135,53 руб. в пользу истца. То обстоятельство, что истец пробрел квартиру на основании договора купли-продажи, заключенного с застройщиком, осматривал ее и вправе был отказаться от покупки или потребовать от продавца снижения ее цены, основанием для отказа в удовлетворении исковых требований не является, поскольку приобретение квартиры на основании договора купли-продажи не лишает истца права предъявить застройщику многоквартирного дома требования, предусмотренные Законом об участии в долевом строительстве в пределах предусмотренного законом гарантийного срока. В соответствии с п. п. 1, 2 ст. 7 Закона об участии в долевом строительстве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В силу ч. 6 ст. 7 Закона об участии в долевом строительстве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 По смыслу названной правовой нормы, в пределах гарантийного срока устанавливается ответственность именно застройщика за недостатки (дефекты) выполненных работ, выявленных в пределах гарантийного срока. При этом, само по себе соответствие жилого помещения проектной документации не освобождает ответчика от обязанности предоставить объект долевого строительства, качество которого соответствует требованиям технических регламентов. В соответствии с положениями ст. Закона РФ "О защите прав потребителей" с ответчика в пользу истца подлежит взысканию моральный вред, размер которого определяется судом исходя из конкретных обстоятельств дела, с учетом объема и характера причиненных истцу страданий, степени вины ответчика, иных заслуживающих внимание обстоятельств, а также требований разумности и справедливости, в размере 1000 руб., в остальной части отказывает. Согласно п.1 ст. Закона РФ "О защите прав потребителей"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Согласно ст.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В силу ст. Закона РФ «О защите прав потребителей»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Поскольку имеет место нарушение установленного законом срока, подлежащего удовлетворению застройщиком в течение десяти дней со дня предъявления соответствующего требования, то на ответчика может быть возложена ответственность, предусмотренная, п.1 ст. Закона РФ «О защите прав потребителей». Таким образом, предусмотренная п. 1 ст. Закона о защите прав потребителей неустойка, которую покупатель вправе взыскать с продавца при невыполнении его законных требований о возмещении убытков, причиненных потребителю вследствие продажи товара ненадлежащего качества, исчисляется от цены товара и не ограничивается размером стоимости устранения недостатков или стоимости товара. Как следует из материалов дела, 16.08.2024 г. истец направила в адрес ответчика претензию с требованием о соразмерном уменьшении цены договора, которая получена 20.08.2024 г. Таким образом, претензия получена ответчиком в течение 10 дней, требования истца не исполнены, соответственно, на сумму исковых требований подлежит начислению неустойка за период с 31.08.2024 г. по 26.03.2025 г. в размере 353 881,90 руб. ( расчет: 170 135,53 х 1% х 208 =353 881,90). В пункте 65 постановления Пленума Верховного Суда Российской Федерации от 24.03.2016 года N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Гражданского кодекса Российской Федерации,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Установленный п. 6 ст. Закона о защите прав потребителей штраф имеет гражданско-правовую природу и по своей сути является предусмотренной законом мерой ответственности за ненадлежащее исполнение обязательств, то есть является формой предусмотренной законом неустойки. Пунктом 6 ст. Закона о защите прав потребителей предусмотрено, что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50% от суммы, присужденной судом в пользу потребителя. Основанием для взыскания штрафа с ответчика в соответствии с указанной нормой является не удовлетворение требований истцов об устранении недостатков. При определении размера неустойки и штрафа суд принимает во внимание причины длительности рассмотрения спора, учитывает степень вины ответчика в нарушении прав истца как потребителя, заявление ответчика о снижении размера неустойки, а также то, что выявленные недостатки не свидетельствуют о невозможности проживания в приобретённом жилом помещении и угрозе жизни и здоровья и оценивает данные обстоятельства как исключительные, позволяющие применить положения ст. 333 ГК РФ , а также стоимость устранения выявленных недостатков, объем восстановленного права и определяет к взысканию неустойку в размере 150 000 рублей и штраф в размере 40 000 рублей в пользу истца, с начислением неустойки от суммы задолженности 1% по день фактической оплаты задолженности. При этом, суд также учитывает, что увеличение истцом исковых требований последовало в судебном заседании 25 марта 2025г., после ознакомления с судебной экспертизой, в претензии от 16.08.2024 г. испрашивался размер денежных средств в меньшем размере, чем в уточном исковом заявлении, готовность ответчика на выплату недостатков, а также баланс интересов потребителя и застройщика в связи с недружественными действиями иностранных государств и международных организаций, принятых мер в отношении российских юридических лиц. В соответствии со ст. 100 ГПК РФ ,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указал Верховный Суд РФ в Постановлении Пленума от 21 января 2016 года №1 «О некоторых вопросах применения законодательства о возмещении издержек, связанных с рассмотрением дела»,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Согласно разъяснениям, изложенным в п. 10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Согласно п. 11 указанного Постановления Пленума Верховного Суда РФ от 21.01.2016 N 1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При определении размера судебных расходов подлежащих взысканию в пользу истца, суд оценивает сложность спора, продолжительность судебных заседаний, цены, действующие в регионе на сходные услуги, разумность, статус представителя истцов - адвокат и определяет ко взысканию в пользу истца ФИО1 расходы на представителя в размере 16 000 рублей, в остальной части отказывает. При этом, суд определяет за подготовку иска – 10000 рублей, участие представителя в судебном заседании 13.11.2024 г., продолжительностью 10 минут – 2000 рублей, участие представителя в судебном заседании 25.03.2025 г.- 4000 рублей. Факт несения расходов документально подтвержден договором об оказании юридической помощи от 02.08.2024, квитанциями к приходно-кассовым ордерам, актом о приемке оказанных услуг от 25.03.2025 г. В части взыскания расходов на досудебное исследование в общем размере 50 000 рублей, суд приходит к следующему. Согласно абзацу 2 пункта 2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перечень судебных издержек, предусмотренный указанными кодексами, не является исчерпывающим. Так, расходы, понесенные истцом, административным истцом, заявителем в связи с собиранием доказательств до предъявления искового заявления, административного искового заявления, заявления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Например, истцу могут быть возмещены расходы, связанные с легализацией иностранных официальных документов, обеспечением нотариусом до возбуждения дела в суде судебных доказательств (в частности, доказательств, подтверждающих размещение определенной информации в сети Интернет), расходы на проведение досудебного исследования состояния имущества, на основании которого впоследствии определена цена предъявленного в суд иска, его подсудность. Заявленные ко взысканию расходы в размере 50 000 рублей на проведение исследования № Э-1165-24-ДЕА-КФ от 09.08.2024 года (ООО КОНСАЛТ ЧЕРНОЗЕМЬЯ»), суд определяет подлежащими взысканию с ответчика в пользу истца, поскольку документально указанные расходы подтверждены, понесены истцом вынуждено (л.д. 19-92). Как разъяснено в пункте 28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Гражданского кодекса Российской Федерации). Таким образом, истцом правомерно, в том числе для определения цены иска, приложено к иску досудебное исследование. Кроме того, суд принимает во внимание, что стоимость устранения недостатков, определенная в досудебном исследовании, ниже чем стоимость недостатков определенных в судебной экспертизе, что свидетельствует о добросовестности истца, возможности урегулирования спора в досудебном порядке, что сделано не было. Доказательства завышенности стоимости досудебного исследования в г.Воронеже, в нарушении ст. 56 ГПК РФ , суду не представлены. В соответствии со ст. 333.19 НК РФ с ответчика подлежит взысканию государственная пошлина в бюджет в размере 18 480, 35 рублей. На основании выше изложенного и руководствуясь ст. ст. , - 199 ГПК РФ , суд РЕШИЛ: Взыскать с акционерного общества «Специализированный застройщик «Домостроительный комбинат-2» в пользу ФИО1 (паспорт № .....) 170 135,53 рублей в счет соразмерного уменьшения цены договора, 50 000 рублей затраты на проведение исследования, компенсацию морального вреда в размере 1000 рублей, неустойку за нарушение срока удовлетворения требований в размере 150 000 рублей, за период с 31.08.2024 г. по 26.03.2025 г. продолжив начисление неустойки с 27.03.2025 г. в размере 1% от суммы задолженности в размере 170 135,53 рублей по день фактической оплаты задолженности, штраф в размере 40 000 рублей, расходы на представителя в размере 16 000 рублей, а всего 427 135 (четыреста двадцать семь тысяч сто тридцать пять) рублей 53 коп. В остальной части отказать. Взыскать с акционерного общества «Специализированный застройщик «Домостроительный комбинат-2» в бюджет государственную пошлину в размере 18 480 ( восемнадцать тысяч четыреста восемьдесят) рублей 35 коп. Решение может быть обжаловано в Воронежский областной суд в течение месяца со дня изготовления решения в окончательной форме. Судья И.В. Дорофеева мотивированное решение изготовлено 02.04.2025 г. Суд: Железнодорожный районный суд г. Воронежа (Воронежская область) (подробнее) Ответчики: АО "СЗ "ДСК-2" (подробнее) Судьи дела: Дорофеева Инна Валентиновна (судья) (подробнее) Последние документы по делу: Решение от 25 марта 2025 г. по делу № 2-158/2025 Решение от 25 марта 2025 г. по делу № 2-158/2025 Решение от 26 февраля 2025 г. по делу № 2-158/2025 Решение от 20 января 2025 г. по делу № 2-158/2025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