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Из смысла указанных норм следует, что: - действующее законодательство не исключает возможности определения нагрузки на оси тяжеловесного транспортного средства, перевозящего, в том числе, жидкости, на автоматических пунктах весогабаритного контроля в процессе движения транспортного средства; - водители тяжеловесных транспортных средств на подъезде к АПВГК извещаются о необходимости равномерного движения транспортного средства при проезде места контроля; - 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Из этого следует, что владелец транспортного средства и водитель обязаны учитывать наличие груза, являющегося делимым (т.е. таким, который можно разделить на несколько грузовых мест без потери качества груза), его вес и объём, и с учётом этих факторов исключить превышение установленной нагрузки на оси транспортного средства.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Как усматривается из полученного по запросу суда в форме электронной копии документа свидетельства о поверке средства измерений № С-АЭ/28-11-2024/390893897, оно выдано на системы дорожные весового и габаритного контроля; "СВК"; СВК-2-Р(М)ВС, рег. № 42677-14; заводской номер 70704, в составе комплекс аппаратно-программный "Вокорд Трафик М" № М181, Устройство синхронизации времени УСВ-3, ВЛСТ 240.00.000 А2Б2 № 1671.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Доводы жалобы о том, что событие административного правонарушения отсутствует, поскольку, по мнению ФИО1, с учётом Приложения 3 к Правилам перевозок грузов автомобильным транспортом допустимая нагрузка на каждую ось транспортного средства составляет 11 500 кг, основаны на неправильном толковании закона. Автомобильная дорога, на которой совершено административное правонарушение, имеет нормативную нагрузку 10 тонн на ось транспортного средства. Согласно приложению № 3 к Правилам № 2200 для одиночной оси, имеющей двускатные колёса, на дорогах, имеющих нормативную нагрузку 10 тонн на ось транспортного средства, допустимой является нагрузка 10 тонн на такую ось (верхняя строка таблицы, средняя колонка, значение в скобках). При таких обстоятельствах доводы ФИО1, изложенные в жалобе, об отсутствии в его действиях состава административного правонарушения являются несостоятельными. Доводы защитника Аджиевой Л.С. о том, что транспортное средство находилось во владении другого лица – гражданина ФИО3, в связи с чем, по мнению защитника, ФИО1 не может быть привлечён к административной ответственности, является несостоятельным в силу следующего. Обосновывая свои доводы о том, что транспортное средство выбыло из владения ФИО1, защитник ссылалась на страховой полис ОСАГО ХХХ № №, а также на наличие у ФИО3 права на управление транспортными средствами всех категорий. Вместе с тем, данные документы не исключают того, что автомобиль находился в фактическом владении ФИО1, который вписан в тот же полис ОСАГО. При таких обстоятельствах эти доводы ФИО1 являются несостоятельными. Частью первой статьи 29.6 КоАП РФ установлено, что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Административное правонарушение было совершено 17 декабря 2024 года, а оспариваемое постановление вынесено только 3 февраля 2025 года, т.е. с пропуском срока, установленного ч. 1 ст. 29.6 КоАП РФ. Вместе с тем, это обстоятельство не является основанием для отмены оспариваемого постановления, поскольку указанный срок не является пресекательным. Часть 1 статьи 4.1.1 КоАП РФ,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КоАП РФ;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КоАП РФ).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Согласно ст.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Оснований для применения положений ст. 2.9 КоАП РФ не усматривается. В силу ч. 2 ст. 4.1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КоАП РФ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По сведениям, полученным из ЕГРИП, ФИО1 является индивидуальным предпринимателем, согласно сведениям из Единого реестра субъектов малого и среднего предпринимательства он имеет статус микропредприятия. Данные обстоятельства с учётом того, что ранее ФИО1 к административной ответственности не привлекался (сведений об обратном не имеется) свидетельствуют о том, что уплата административного штрафа в размере 350 000 рублей будет для ФИО1 финансово затруднительной. Находя данные обстоятельства исключительными, считаю необходимым уменьшить назначенный ФИО1 административный штраф вдвое, до 200 000 рублей. На основании изложенного, руководствуясь ст. ст. 30.7 , 30.8 Кодекса Российской Федерации об административных правонарушениях, р е ш и л: Жалобу ФИО1 удовлетворить частично. Постановление № 10677481240479184043, вынесенное 3 февраля 2025 года государственным инспектором МТУ Ространснадзора по ЦФО ФИО2, которым ФИО1 привлечён к административной ответственности, установленной ч. 3 ст. 12.21.1 Кодекса Российской Федерации об административных правонарушениях, изменить, уменьшив административный штраф с 350 000 рублей до 200 000 рублей. На решение может быть подана жалоба в Камчатский краевой суд в течение десяти дней со дня вручения или получения копии решения. Судья П.В. Кошелев Суд: Елизовский районный суд (Камчатский край) (подробнее) Судьи дела: Кошелев Павел Витальевич (судья) (подробнее) Последние документы по делу: Решение от 26 августа 2025 г. по делу № 12-38/2025 Решение от 23 июня 2025 г. по делу № 12-38/2025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