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автоматическом пункте весогабаритного контроля (далее – АПВГК) осуществляется фиксация весовых и габаритных параметров с использованием специальных технических средств, работающих в автоматическом режиме и имеющих функции фото- и киносъемки, видеозаписи.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АПВГК должен обеспечивать выполнение следующих функций: 1) измерение нагрузки на каждую ось транспортного средства; 2) определение массы транспортного средства; 3) определение количества осей транспортного средства; 4) измерение межосевых расстояний транспортного средства; 5) определение количества колес на осях транспортного средства и скатности колес; 6) измерение габаритных параметров транспортного средства; 7) фотофиксация и распознавание государственного регистрационного номера транспортного средства; 8) фотофиксация фронтального изображения транспортного средства; 9) фотофиксация общего вида транспортного средства (вид сбоку) в момент проезда через весоизмерительные датчики (получение обзорной фотографии транспортного средства, на которой отражены его контуры и количество осей); 10)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 обеспечивающего криптографическую защиту передаваемой информации.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(регулируемых или нерегулируемых перекрестков, специально отведенных мест для отдыха, остановок общественного транспорта, объектов сервиса, сужения или расширения дороги, примыкания полос торможения или разгона, железнодорожных переездов и иных мест), за исключением незаконных примыканий. АПВГК оборудуется программным обеспечением, позволяющим учитывать различный скоростной режим транспортного средства, в том числе при ускорении и замедлении движения транспортного средства.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Участок автомобильной дороги, на котором осуществляется весогабаритный контроль, должен быть обустроен необходимыми техническими средствами организации дорожного движения в соответствии с проектом (схемой) организации дорожного движения, предусматривающими в том числе информирование водителя транспортного средства (на расстоянии не менее чем за 50 метров перед установленным весоизмерительным оборудованием АПВГК по пути следования транспортного средства) о приближении к АПВГК и о необходимости равномерного движения транспортного средства при проезде АПВГК. Из смысла указанных норм следует, что: - действующее законодательство не исключает возможности определения нагрузки на оси тяжеловесного транспортного средства, перевозящего, в том числе, жидкости, на автоматических пунктах весогабаритного контроля в процессе движения транспортного средства; - водители тяжеловесных транспортных средств на подъезде к АПВГК извещаются о необходимости равномерного движения транспортного средства при проезде места контроля; - 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Из этого следует, что владелец транспортного средства и водитель обязаны учитывать наличие груза, являющегося делимым (т.е. таким, который можно разделить на несколько грузовых мест без потери качества груза), его вес и объём, и с учётом этих факторов исключить превышение установленной нагрузки на оси транспортного средства. Лицом, привлечённым к административной ответственности, не предоставлены доказательства того, что АПВГК функционировал с нарушением установленных требований. Как усматривается из полученного по запросу суда в форме электронной копии документа свидетельства о поверке средства измерений № С-АЭ/28-11-2024/390893897, оно выдано на системы дорожные весового и габаритного контроля; "СВК"; СВК-2-Р(М)ВС, рег. № 42677-14; заводской номер 70704, в составе комплекс аппаратно-программный "Вокорд Трафик М" № М181, Устройство синхронизации времени УСВ-3, ВЛСТ 240.00.000 А2Б2 № 1671. Устройство поверено в полном объёме, свидетельство действительно до 27 ноября 2025 года. В соответствии с п. 49-61 Порядка осуществляется проверка соответствия мест установки оборудования АПВГК, которая включает инструментальное обследование мест установки оборудования АПВГК, проводимое не реже одного раза в 100 календарных дней с даты предыдущего инструментального обследования. Как усматривается из поступивших в суд актов проверки соответствия мест установки оборудования АПВГК, составленных 14 ноября 2024 года, 12 февраля 2025 года, место установки оборудования АПВГК № 70704 на момент совершения административного правонарушения соответствовало требованиям п. 56 Порядка. С учётом изложенных обстоятельств оснований сомневаться в правильности измерений не имеется. Доводы жалобы о том, что событие административного правонарушения отсутствует, поскольку, по мнению ФИО1, с учётом Приложения 3 к Правилам перевозок грузов автомобильным транспортом допустимая нагрузка на каждую ось транспортного средства составляет 11 500 кг, основаны на неправильном толковании закона. Автомобильная дорога, на которой совершено административное правонарушение, имеет нормативную нагрузку 10 тонн на ось транспортного средства. Согласно приложению № 3 к Правилам № 2200 для одиночной оси, имеющей двускатные колёса, на дорогах, имеющих нормативную нагрузку 10 тонн на ось транспортного средства, допустимой является нагрузка 10 тонн на такую ось (верхняя строка таблицы, средняя колонка, значение в скобках). При таких обстоятельствах доводы ФИО1, изложенные в жалобе, об отсутствии в его действиях состава административного правонарушения являются несостоятельными. Часть 1 статьи 4.1.1 Кодекса Российской Федерации об административных правонарушениях, действующая во взаимосвязи с положениями статьи 3.4 данного Кодекса, предусматривает возможность замены административного наказания в виде административного штрафа предупреждением в качестве одного из способов индивидуализации административного наказания. По смыслу вышеуказанных законоположений основанием для применения такой преференции являются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Кодекса Российской Федерации об административных правонарушениях;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 Обязательным условием для замены административного штрафа предупреждением является отсутствие имущественного ущерба (ч. 2 ст. 3.4 Кодекса Российской Федерации об административных правонарушениях). В соответствии с положениями статьи 31 Федерального закона N 257-ФЗ движение по автодорогам транспорта, перевозящего тяжеловесные грузы, допускается при наличии специального разрешения. При этом при получении специального разрешения владелец транспортного средства, осуществляющий перевозки тяжеловесных грузов, обязан возместить вред, причиняемый таким транспортным средством автомобильным дорогам. Плата в счет возмещения вреда вносится при оформлении разрешения, а размер такой платы зависит, в том числе, от превышения предельно допустимых массы транспорта и осевых нагрузок. Таким образом, превышение показателей нагрузки на ось транспортного средства также предполагает причинение владельцем такого транспортного средства негативных последствий автомобильным дорогам в виде разрушения дорожного полотна, что причиняет имущественный ущерб владельцу автомобильной дороги, а также существенно ухудшает условия безопасности дорожного движения для всех участников дорожного движения. Данные обстоятельства исключают возможность замены административного штрафа на предупреждение. Согласно ст. 2.9 Кодекса Российской Федерации об административных правонарушениях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Оснований для применения положений ст. 2.9 Кодекса Российской Федерации об административных правонарушениях не усматривается. В силу ч. 2 ст. 4.1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Обстоятельств, смягчающих или отягчающих административную ответственность, не установлено. В соответствии с ч. 2.2 ст. 4.1 Кодекса Российской Федерации об административных правонарушениях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По сведениям, полученным из ЕГРИП, ФИО1 не является индивидуальным предпринимателем. Данные обстоятельства с учётом того, что ранее ФИО1 к административной ответственности не привлекался (сведений об обратном не имеется) свидетельствуют о том, что уплата административного штрафа в размере 250 000 рублей будет для ФИО1 финансово затруднительной. Находя данные обстоятельства исключительными, считаю необходимым уменьшить назначенный ФИО1 административный штраф вдвое, до 125 000 рублей. На основании изложенного, руководствуясь ст. ст. 30.7 , 30.8 Кодекса Российской Федерации об административных правонарушениях, р е ш и л: Жалобу ФИО1 удовлетворить частично. Постановление № 10677481240479215534, вынесенное 23 января 2025 года государственным инспектором МТУ Ространснадзора по ЦФО ФИО2, которым ФИО1 привлечён к административной ответственности, установленной ч. 2 ст. 12.21.1 Кодекса Российской Федерации об административных правонарушениях, изменить, уменьшив административный штраф с 250 000 рублей до 125 000 рублей. На решение может быть подана жалоба в Камчатский краевой суд в течение десяти дней со дня вручения или получения копии решения. Судья подпись П.В. Кошелев &lt;данные изъяты&gt; &lt;данные изъяты&gt; &lt;данные изъяты&gt; &lt;данные изъяты&gt; &lt;данные изъяты&gt; &lt;данные изъяты&gt; Суд: Елизовский районный суд (Камчатский край) (подробнее) Судьи дела: Кошелев Павел Витальевич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