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14 т,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группы сближенных сдвоенных осей свыше 1,3 до 1,8 (включительно), на дорогах, имеющих нормативную нагрузку 10 тонн на ось транспортного средства, допустимой является нагрузка 8 тонн на такую ось (четвертая строка таблицы, средняя колонка, значение в скобках). При таких обстоятельствах доводы ФИО1, изложенные в жалобе, об отсутствии в его действиях события административного правонарушения являются несостоятельными. Доводы защитника Аджиевой Л.С. о том, что транспортное средство находилось во владении другого лица – гражданина ФИО3, в связи с чем, по мнению защитника, ФИО1 не может быть привлечён к административной ответственности, является несостоятельным в силу следующего. Обосновывая свои доводы о том, что транспортное средство выбыло из владения ФИО1, защитник ссылалась на страховой полис. Вместе с тем, данные документы не исключают того, что автомобиль находился в фактическом владении ФИО1, который вписан в тот же полис ОСАГО. При таких обстоятельствах эти доводы ФИО1 являются несостоятельными.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Кодекса Российской Федерации об административных правонарушениях не усматривается.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он имеет статус микропредприятия.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250 000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125 000 рублей. На основании изложенного, руководствуясь ст. ст. 30.7 , 30.8 Кодекса Российской Федерации об административных правонарушениях, р е ш и л: Жалобу ФИО4 удовлетворить частично. Постановление № 10677481240479216174, вынесенное 3 февраля 2025 года государственным инспектором МТУ Ространснадзора по ЦФО ФИО2, которым ФИО1 привлечён к административной ответственности, установленной ч. 2 ст. 12.21.1 Кодекса Российской Федерации об административных правонарушениях, изменить, уменьшив административный штраф с 250 000 рублей до 125 000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 Последние документы по делу: Решение от 26 августа 2025 г. по делу № 12-55/2025 Решение от 23 июня 2025 г. по делу № 12-55/2025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