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автоматическом пункте весогабаритного контроля (далее – АПВГК) осуществляется фиксация весовых и габаритных параметров с использованием специальных технических средств, работающих в автоматическом режиме и имеющих функции фото- и киносъемки, видеозаписи.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АПВГК должен обеспечивать выполнение следующих функций: 1) измерение нагрузки на каждую ось транспортного средства; 2) определение массы транспортного средства; 3) определение количества осей транспортного средства; 4) измерение межосевых расстояний транспортного средства; 5) определение количества колес на осях транспортного средства и скатности колес; 6) измерение габаритных параметров транспортного средства; 7) фотофиксация и распознавание государственного регистрационного номера транспортного средства; 8) фотофиксация фронтального изображения транспортного средства; 9) фотофиксация общего вида транспортного средства (вид сбоку) в момент проезда через весоизмерительные датчики (получение обзорной фотографии транспортного средства, на которой отражены его контуры и количество осей); 10)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 обеспечивающего криптографическую защиту передаваемой информации.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(регулируемых или нерегулируемых перекрестков, специально отведенных мест для отдыха, остановок общественного транспорта, объектов сервиса, сужения или расширения дороги, примыкания полос торможения или разгона, железнодорожных переездов и иных мест), за исключением незаконных примыканий. АПВГК оборудуется программным обеспечением, позволяющим учитывать различный скоростной режим транспортного средства, в том числе при ускорении и замедлении движения транспортного средства.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Участок автомобильной дороги, на котором осуществляется весогабаритный контроль, должен быть обустроен необходимыми техническими средствами организации дорожного движения в соответствии с проектом (схемой) организации дорожного движения, предусматривающими в том числе информирование водителя транспортного средства (на расстоянии не менее чем за 50 метров перед установленным весоизмерительным оборудованием АПВГК по пути следования транспортного средства) о приближении к АПВГК и о необходимости равномерного движения транспортного средства при проезде АПВГК. Из смысла указанных норм следует, что: - действующее законодательство не исключает возможности определения нагрузки на оси тяжеловесного транспортного средства, перевозящего, в том числе, жидкости, на автоматических пунктах весогабаритного контроля в процессе движения транспортного средства; - водители тяжеловесных транспортных средств на подъезде к АПВГК извещаются о необходимости равномерного движения транспортного средства при проезде места контроля; - 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Из этого следует, что владелец транспортного средства и водитель обязаны учитывать наличие груза, являющегося делимым (т.е. таким, который можно разделить на несколько грузовых мест без потери качества груза), его вес и объём, и с учётом этих факторов исключить превышение установленной нагрузки на оси транспортного средства. Лицом, привлечённым к административной ответственности, не предоставлены доказательства того, что АПВГК функционировал с нарушением установленных требований. Как усматривается из полученного по запросу суда в форме электронной копии документа свидетельства о поверке средства измерений № С-АЭ/28-11-2024/390893897, оно выдано на системы дорожные весового и габаритного контроля; "СВК"; СВК-2-Р(М)ВС, рег. № 42677-14; заводской номер 70704, в составе комплекс аппаратно-программный "Вокорд Трафик М" № М181, Устройство синхронизации времени УСВ-3, ВЛСТ 240.00.000 А2Б2 № 1671. Устройство поверено в полном объёме, свидетельство действительно до 27 ноября 2025 года. В соответствии с п. 49-61 Порядка осуществляется проверка соответствия мест установки оборудования АПВГК, которая включает инструментальное обследование мест установки оборудования АПВГК, проводимое не реже одного раза в 100 календарных дней с даты предыдущего инструментального обследования. Как усматривается из поступивших в суд актов проверки соответствия мест установки оборудования АПВГК, составленных 14 ноября 2024 года, 12 февраля 2025 года, место установки оборудования АПВГК № 70704 на момент совершения административного правонарушения соответствовало требованиям п. 56 Порядка. С учётом изложенных обстоятельств оснований сомневаться в правильности измерений не имеется. Доводы жалобы о том, что событие административного правонарушения отсутствует, поскольку, по мнению ФИО1, с учётом Приложения 3 к Правилам перевозок грузов автомобильным транспортом допустимая нагрузка на каждую ось транспортного средства составляет 11 500 кг, основаны на неправильном толковании закона. Автомобильная дорога, на которой совершено административное правонарушение, имеет нормативную нагрузку 10 тонн на ось транспортного средства. Согласно приложению № 3 к Правилам № 2200 для одиночной оси, имеющей двускатные колёса, на дорогах, имеющих нормативную нагрузку 10 тонн на ось транспортного средства, допустимой является нагрузка 10 тонн на такую ось (верхняя строка таблицы, средняя колонка, значение в скобках). При таких обстоятельствах доводы ФИО1, изложенные в жалобе, об отсутствии в его действиях состава административного правонарушения являются несостоятельными. Часть 1 статьи 4.1.1 Кодекса Российской Федерации об административных правонарушениях, действующая во взаимосвязи с положениями статьи 3.4 данного Кодекса, предусматривает возможность замены административного наказания в виде административного штрафа предупреждением в качестве одного из способов индивидуализации административного наказания. По смыслу вышеуказанных законоположений основанием для применения такой преференции являются совокупность следующих условий: административное правонарушение должно быть совершено впервые; административное правонарушение должно быть выявлено в ходе осуществления государственного контроля (надзора), муниципального контроля; административное правонарушение не должно быть поименовано в части 2 статьи 4.1.1 Кодекса Российской Федерации об административных правонарушениях; отсутствует причинение вреда или возникновение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отсутствует имущественный ущерб. Обязательным условием для замены административного штрафа предупреждением является отсутствие имущественного ущерба (ч. 2 ст. 3.4 Кодекса Российской Федерации об административных правонарушениях). В соответствии с положениями статьи 31 Федерального закона N 257-ФЗ движение по автодорогам транспорта, перевозящего тяжеловесные грузы, допускается при наличии специального разрешения. При этом при получении специального разрешения владелец транспортного средства, осуществляющий перевозки тяжеловесных грузов, обязан возместить вред, причиняемый таким транспортным средством автомобильным дорогам. Плата в счет возмещения вреда вносится при оформлении разрешения, а размер такой платы зависит, в том числе, от превышения предельно допустимых массы транспорта и осевых нагрузок. Таким образом, превышение показателей нагрузки на ось транспортного средства также предполагает причинение владельцем такого транспортного средства негативных последствий автомобильным дорогам в виде разрушения дорожного полотна, что причиняет имущественный ущерб владельцу автомобильной дороги, а также существенно ухудшает условия безопасности дорожного движения для всех участников дорожного движения. Данные обстоятельства исключают возможность замены административного штрафа на предупреждение. Согласно ст. 2.9 Кодекса Российской Федерации об административных правонарушениях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Оснований для применения положений ст. 2.9 Кодекса Российской Федерации об административных правонарушениях не усматривается. В силу ч. 2 ст. 4.1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Обстоятельств, смягчающих или отягчающих административную ответственность, не установлено. В соответствии с ч. 2.2 ст. 4.1 Кодекса Российской Федерации об административных правонарушениях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По сведениям, полученным из ЕГРИП, ФИО1 не является индивидуальным предпринимателем. Данные обстоятельства с учётом того, что ранее ФИО1 к административной ответственности не привлекался (сведений об обратном не имеется) свидетельствуют о том, что уплата административного штрафа в размере 250 000 рублей будет для ФИО1 финансово затруднительной. Находя данные обстоятельства исключительными, считаю необходимым уменьшить назначенный ФИО1 административный штраф вдвое, до 125 000 рублей. На основании изложенного, руководствуясь ст. ст. 30.7 , 30.8 Кодекса Российской Федерации об административных правонарушениях, р е ш и л: Жалобу ФИО1 удовлетворить частично. Постановление № 10677481240479216451, вынесенное 3 февраля 2025 года главным государственным инспектором МТУ Ространснадзора по ЦФО ФИО2, которым ФИО1 привлечён к административной ответственности, установленной ч. 2 ст. 12.21.1 Кодекса Российской Федерации об административных правонарушениях, изменить, уменьшив административный штраф с 250 000 рублей до 125 000 рублей. На решение может быть подана жалоба в Камчатский краевой суд в течение десяти дней со дня вручения или получения копии решения. Судья подпись П.В. Кошелев &lt;данные изъяты&gt; &lt;данные изъяты&gt; &lt;данные изъяты&gt; &lt;данные изъяты&gt; &lt;данные изъяты&gt; &lt;данные изъяты&gt; Суд: Елизовский районный суд (Камчатский край) (подробнее) Судьи дела: Кошелев Павел Витальевич (судья) (подробнее) Последние документы по делу: Решение от 26 августа 2025 г. по делу № 12-40/2025 Решение от 25 июня 2025 г. по делу № 12-40/2025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