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Произведённые неотделимые улучшения, которые были произведены на объекте недвижимости (в жилом доме, надворных постройках и на земельном участке), расположенных по адресу&lt;адрес&gt; после ДД.ММ.ГГГГ по настоящее время: Веранда — устройство ленточного фундамента, установка каркаса, обшивка каркасных стен, установка оконных и дверных блоков, укладка лаг, устройство пола из досок, покрытие пола линолеумом. Жилой дом – замена кровли из листовой стали на кровлю из металлочерепицы. Установка душевой кабины и обшивка стен досками в бане. Летняя кухня – замена кровли из листовой стали на профнастил, перестилка дощатых полов, устройство покрытия из линолеума, облицовка стен пластиковыми панелями, установка дверных блоков, устройство погреба с обшивкой стен досками. Навес, литера Г1 – устройство каркаса из труб, окраска труб, устройство профилированного настила и настила из полиэстера, устройство пола и печи. Навес, литера Г2, Г5 – устройство каркаса и покрытие профилированным листом. Сарай, литера ГЗ, Г4 – устройство фундамента, бревенчатого каркаса, обшивка досками с утеплением, укладка лаг и дощатых полов, покрытие ОСП, монтаж профилированного листа. Гараж, литер Гб – устройство фундамента и стен из блоков, устройство пристройки металлической к гаражу, устройство потолка и кровли, с устройством стропил, подшивкой ОСП, устройство оконных блоков и ворот. Электротехнические работы – устройство проводки, выключателей, розеток, светильников.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Рыночная стоимость неотделимых улучшений, в том числе материалов, работ составляет 3 389 148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объектов недвижимости (жилого дома, надворных построек и земельного участка), расположенных по адресу: &lt;адрес&gt; на дату приобретения ДД.ММ.ГГГГ составила 1 000 000 руб., в том числе жилой дом и постройки – 900 000 руб., земельный участок – 100 000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Рыночная стоимость объектов недвижимости (жилого дома, надворных построек и земельного участка), расположенных по адресу: &lt;адрес&gt; на день проведения экспертизы с учётом неотделимых улучшений, произведённых после ДД.ММ.ГГГГ по настоящее время составляет: 5 670 000 руб., в том числе: земельный участок – 390000 руб., жилой дом с постройками – 5 280 000 руб. Представленное суду заключение соответствует установленным статьей 25 Федерального закона от 31мая2001года N73-ФЗ "О государственной судебно-экспертной деятельности в Российской Федерации" требованиям. Экспертное заключение является одним из доказательств по делу и оценивается в соответствии со статьей 67 ГПК РФ в совокупности с иными доказательствами, собранными по делу. По мнению суда, экспертиза проведена в соответствии с требованиями Федерального закона "О государственной судебно-экспертной деятельности в Российской Федерации" на основании определения суда о поручении проведения экспертизы экспертам организации в соответствии с профилем деятельности, определенным выданной им лицензией, заключение содержит необходимые ссылки на литературу и документацию, использованную при производстве экспертизы, а состоящий в штате организации эксперт под подписку предупрежден об уголовной ответственности, предусмотренной ст. 307 УК РФ , за дачу заведомо ложного заключения. Стороны заключение судебной экспертизы не оспорили, ходатайств о назначении дополнительной или повторной экспертизы заявлено не было. Проанализировав содержание заключения судебной экспертизы, суд приходит к выводу о том, что оно в полном объеме отвечает требованиям статьи 86 ГПК РФ , поскольку содержит подробное описание произведенных исследований, сделанные в их результате выводы и научно обоснованные ответы на поставленные вопросы, в обоснование сделанных выводов эксперт приводит соответствующие данные из представленных в распоряжение эксперта материалов, указывает на применение методов исследований, основывается на исходных объективных данных. Каких-либо противоречий с другими доказательствами заключение не содержит. На основании вышеизложенного, заключение судебной экспертизы принимается судом в качестве надлежащего доказательства по делу. По заключению судебной экспертизы, стоимость неотделимых улучшений, произведенных в жилом доме и на земельном участке, составляет 3389148 руб. Однако истец просит взыскать сумму в размере 4670000 руб. (5670000 руб. рыночная стоимость объектов на день проведения экспертизы с учётом неотделимых улучшений, произведенных после ДД.ММ.ГГГГ за вычетом 1000000 руб. – стоимость объектов на дату приобретения). Однако у истца не порождается права на изыскание суммы в размере 4670000 руб., поскольку рыночная стоимость объектов на день проведения экспертизы выросла не только за счет вложений неотделимых улучшений, но и за счет индекса потребительских цен (инфляции), роста рыночной стоимости объектов недвижимости и т.п. Таким образом, в пользу З.А.ГБ. с ответчиков М.Б.РВ. и ФИО4 подлежит взысканию в солидарном порядке установленная экспертизой рыночная стоимость неотделимых улучшений в сумме 3389148 руб. При подаче иска госпошлина ФИО1 не оплачена. Определением Учалинского районного суда РБ от ДД.ММ.ГГГГ З.А.ГВ. предоставлена отсрочка. Согласно ст. ГПК государственная пошлина, от уплаты которой истец был освобожден, взыскиваются с ответчика, не освобожденного от уплаты государственной пошлины. Исходя из цены иска 3389148 руб., оплате подлежит взысканию госпошлина в сумме 47 724,04 руб. Судом установлено, что ФИО4 является инвалидом &lt;***&gt; группы. Согласно пункту 3 данной статьи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333.19 настоящего Кодекса и уменьшенной на сумму государственной пошлины, подлежащей уплате при цене иска 1 000 000 рублей. Таким образом, инвалид I группы освобожден от уплаты госпошлины только в случае подачи им иска, цена которого не превышает 1 000 000 рублей. Если цена иска превышает 1 000 000 рублей, то госпошлина для такого истца рассчитывается исходя из цены иска за вычетом госпошлины, исчисленной из цены иска в 1 000 000 рублей (13 200 рублей). То есть объем льготы по уплате госпошлины по иску с ценой свыше 1 000 000 рублей заключается в освобождении от уплаты только 13 200 рублей. Учитывая, что размер госпошлины составил 47724,04 руб., исходя из цены иска, с учетом льготы, предусмотренной для инвалида I группы в соответствии с пп. 2 п. 2 и п. 3 ст. 333.36 НК РФ , расчет госпошлины для ФИО4 составит 34524,04 руб. (47724,04 руб. – 13200 руб.). Таким образом, в доход местного бюджета подлежит взысканию госпошлина солидарно с М.Б.РВ. и ФИО4 в сумме 34524,04 руб. Отставшая часть госпошлины 13200 руб. (47724,04 руб. – 34524,04 руб.) подлежит взысканию в доход местного бюджета единолично с М.Б.РВ. как не освобожденного от уплаты госпошлины. Руководствуясь ст.ст. - 198 ГПК РФ , РЕШИЛ: Исковые требования ФИО1 к ФИО2, ФИО4, ФИО3 о взыскании убытков – удовлетворить частично. Взыскать в солидарном порядке с ФИО3 (паспорт №, выданный &lt;***&gt;, ДД.ММ.ГГГГ), с ФИО4 (паспорт № выданный &lt;***&gt; ДД.ММ.ГГГГ) в пользу ФИО1 (паспорт №, выданный &lt;***&gt;, дата выдачи ДД.ММ.ГГГГ) стоимость неотделимых улучшений в сумме 3389148 руб. (три миллиона триста восемьдесят девять тысяч сто сорок восемь рублей 00 копеек). Взыскать в солидарном порядке с ФИО3 (паспорт №, выданный &lt;***&gt;, ДД.ММ.ГГГГ), с ФИО4 (паспорт № выданный &lt;***&gt; ДД.ММ.ГГГГ) государственную пошлину в бюджет муниципального образования г. Учалы Республики Башкортостан в сумме 34524,04 руб. (тридцать четыре тысячи пятьсот двадцать четыре рубля 04 копейки). Взыскать с ФИО3 (паспорт №, выданный &lt;***&gt;, ДД.ММ.ГГГГ) государственную пошлину в бюджет муниципального образования г. Учалы Республики Башкортостан в сумме 13200 руб. (тринадцать тысяч двести рублей 00 копеек). В удовлетворении остальной части исковых требований и к иным ответчикам – отказать. Решение может быть обжаловано в Верховном суде Республики Башкортостан в апелляционном порядке в течение месяца со дня принятия решения судом в окончательной форме через Учалинский районный суд Республики Башкортостан. Председательствующий: Яковлева Л.С. Мотивированное решение, с учетом положений ст. ст. – 108 ГПК РФ , изготовлено 04.08.2025 г. Суд: Учалинский районный суд (Республика Башкортостан) (подробнее) Судьи дела: Яковлева Л.С. (судья) (подробнее) Последние документы по делу: Решение от 4 сентября 2025 г. по делу № 2-466/2025 Решение от 3 августа 2025 г. по делу № 2-466/2025 Решение от 18 июня 2025 г. по делу № 2-466/2025 Решение от 22 июня 2025 г. по делу № 2-466/2025 Решение от 27 апреля 2025 г. по делу № 2-466/2025 Решение от 25 февраля 2025 г. по делу № 2-466/2025 Решение от 19 февраля 2025 г. по делу № 2-466/2025 Решение от 16 февраля 2025 г. по делу № 2-466/2025 Решение от 26 января 2025 г. по делу № 2-466/2025 Показать все документы по этому делу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