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24. Правовой анализ</w:t>
      </w:r>
    </w:p>
    <w:p>
      <w:pPr>
        <w:spacing w:after="120" w:before="160"/>
        <w:ind w:firstLine="720"/>
        <w:jc w:val="both"/>
      </w:pPr>
      <w:r>
        <w:rPr>
          <w:rFonts w:ascii="Times New Roman" w:hAnsi="Times New Roman" w:eastAsia="Times New Roman" w:cs="Times New Roman"/>
          <w:b/>
          <w:i w:val="0"/>
          <w:sz w:val="22"/>
        </w:rPr>
        <w:t xml:space="preserve">24. </w:t>
      </w:r>
      <w:r>
        <w:rPr>
          <w:rFonts w:ascii="Times New Roman" w:hAnsi="Times New Roman" w:eastAsia="Times New Roman" w:cs="Times New Roman"/>
          <w:b w:val="0"/>
          <w:i w:val="0"/>
          <w:sz w:val="22"/>
        </w:rPr>
        <w:t>На автоматическом пункте весогабаритного контроля (далее – АПВГК) осуществляется фиксация весовых и габаритных параметров с использованием специальных технических средств, работающих в автоматическом режиме и имеющих функции фото- и киносъемки, видеозаписи.</w:t>
      </w:r>
    </w:p>
    <w:p>
      <w:pPr>
        <w:pStyle w:val="Heading3"/>
      </w:pPr>
      <w:r>
        <w:rPr>
          <w:rFonts w:ascii="Times New Roman" w:hAnsi="Times New Roman" w:eastAsia="Times New Roman" w:cs="Times New Roman"/>
          <w:b/>
          <w:i w:val="0"/>
          <w:sz w:val="22"/>
        </w:rPr>
        <w:t>Пункт 25. Правовой анализ</w:t>
      </w:r>
    </w:p>
    <w:p>
      <w:pPr>
        <w:spacing w:after="120" w:before="160"/>
        <w:ind w:firstLine="720"/>
        <w:jc w:val="both"/>
      </w:pPr>
      <w:r>
        <w:rPr>
          <w:rFonts w:ascii="Times New Roman" w:hAnsi="Times New Roman" w:eastAsia="Times New Roman" w:cs="Times New Roman"/>
          <w:b/>
          <w:i w:val="0"/>
          <w:sz w:val="22"/>
        </w:rPr>
        <w:t xml:space="preserve">25. </w:t>
      </w:r>
      <w:r>
        <w:rPr>
          <w:rFonts w:ascii="Times New Roman" w:hAnsi="Times New Roman" w:eastAsia="Times New Roman" w:cs="Times New Roman"/>
          <w:b w:val="0"/>
          <w:i w:val="0"/>
          <w:sz w:val="22"/>
        </w:rPr>
        <w:t>АПВГК должен обеспечивать выполнение следующих функций: 1) измерение нагрузки на каждую ось транспортного средства; 2) определение массы транспортного средства; 3) определение количества осей транспортного средства; 4) измерение межосевых расстояний транспортного средства; 5) определение количества колес на осях транспортного средства и скатности колес; 6) измерение габаритных параметров транспортного средства; 7) фотофиксация и распознавание государственного регистрационного номера транспортного средства; 8) фотофиксация фронтального изображения транспортного средства; 9) фотофиксация общего вида транспортного средства (вид сбоку) в момент проезда через весоизмерительные датчики (получение обзорной фотографии транспортного средства, на которой отражены его контуры и количество осей); 10) измерение и передача в центр обработки данных владельца автомобильной дороги зафиксированных параметров транспортных средств посредством канала связи, обеспечивающего криптографическую защиту передаваемой информации.</w:t>
      </w:r>
    </w:p>
    <w:p>
      <w:pPr>
        <w:pStyle w:val="Heading3"/>
      </w:pPr>
      <w:r>
        <w:rPr>
          <w:rFonts w:ascii="Times New Roman" w:hAnsi="Times New Roman" w:eastAsia="Times New Roman" w:cs="Times New Roman"/>
          <w:b/>
          <w:i w:val="0"/>
          <w:sz w:val="22"/>
        </w:rPr>
        <w:t>Пункт 40. Правовой анализ</w:t>
      </w:r>
    </w:p>
    <w:p>
      <w:pPr>
        <w:spacing w:after="120" w:before="160"/>
        <w:ind w:firstLine="720"/>
        <w:jc w:val="both"/>
      </w:pPr>
      <w:r>
        <w:rPr>
          <w:rFonts w:ascii="Times New Roman" w:hAnsi="Times New Roman" w:eastAsia="Times New Roman" w:cs="Times New Roman"/>
          <w:b/>
          <w:i w:val="0"/>
          <w:sz w:val="22"/>
        </w:rPr>
        <w:t xml:space="preserve">40. </w:t>
      </w:r>
      <w:r>
        <w:rPr>
          <w:rFonts w:ascii="Times New Roman" w:hAnsi="Times New Roman" w:eastAsia="Times New Roman" w:cs="Times New Roman"/>
          <w:b w:val="0"/>
          <w:i w:val="0"/>
          <w:sz w:val="22"/>
        </w:rPr>
        <w:t>Оборудование АПВГК устанавливается на автомобильных дорогах на расстоянии не менее 100 метров перед и не менее 50 метров после участков ускорения или замедления движения (регулируемых или нерегулируемых перекрестков, специально отведенных мест для отдыха, остановок общественного транспорта, объектов сервиса, сужения или расширения дороги, примыкания полос торможения или разгона, железнодорожных переездов и иных мест), за исключением незаконных примыканий. АПВГК оборудуется программным обеспечением, позволяющим учитывать различный скоростной режим транспортного средства, в том числе при ускорении и замедлении движения транспортного средства.</w:t>
      </w:r>
    </w:p>
    <w:p>
      <w:pPr>
        <w:pStyle w:val="Heading3"/>
      </w:pPr>
      <w:r>
        <w:rPr>
          <w:rFonts w:ascii="Times New Roman" w:hAnsi="Times New Roman" w:eastAsia="Times New Roman" w:cs="Times New Roman"/>
          <w:b/>
          <w:i w:val="0"/>
          <w:sz w:val="22"/>
        </w:rPr>
        <w:t>Пункт 45. Правовой анализ</w:t>
      </w:r>
    </w:p>
    <w:p>
      <w:pPr>
        <w:spacing w:after="120" w:before="160"/>
        <w:ind w:firstLine="720"/>
        <w:jc w:val="both"/>
      </w:pPr>
      <w:r>
        <w:rPr>
          <w:rFonts w:ascii="Times New Roman" w:hAnsi="Times New Roman" w:eastAsia="Times New Roman" w:cs="Times New Roman"/>
          <w:b/>
          <w:i w:val="0"/>
          <w:sz w:val="22"/>
        </w:rPr>
        <w:t xml:space="preserve">45. </w:t>
      </w:r>
      <w:r>
        <w:rPr>
          <w:rFonts w:ascii="Times New Roman" w:hAnsi="Times New Roman" w:eastAsia="Times New Roman" w:cs="Times New Roman"/>
          <w:b w:val="0"/>
          <w:i w:val="0"/>
          <w:sz w:val="22"/>
        </w:rPr>
        <w:t>Участок автомобильной дороги, на котором осуществляется весогабаритный контроль, должен быть обустроен необходимыми техническими средствами организации дорожного движения в соответствии с проектом (схемой) организации дорожного движения, предусматривающими в том числе информирование водителя транспортного средства (на расстоянии не менее чем за 50 метров перед установленным весоизмерительным оборудованием АПВГК по пути следования транспортного средства) о приближении к АПВГК и о необходимости равномерного движения транспортного средства при проезде АПВГК. Лицом, привлечённым к административной ответственности, не предоставлены доказательства того, что АПВГК функционировал с нарушением установленных требований. Устройство поверено в полном объёме, свидетельство действительно до 27 ноября 2025 года. В соответствии с п. 49-61 Порядка осуществляется проверка соответствия мест установки оборудования АПВГК, которая включает инструментальное обследование мест установки оборудования АПВГК, проводимое не реже одного раза в 100 календарных дней с даты предыдущего инструментального обследования. Как усматривается из поступивших в суд актов проверки соответствия мест установки оборудования АПВГК, составленных 14 ноября 2024 года, 12 февраля 2025 года, место установки оборудования АПВГК № 70704 на момент совершения административного правонарушения соответствовало требованиям п. 56 Порядка. С учётом изложенных обстоятельств оснований сомневаться в правильности измерений не имеется. При таких обстоятельствах доводы ФИО1, изложенные в жалобе, об отсутствии в его действиях состава административного правонарушения являются несостоятельными. Частью первой статьи 29.6 Кодекса Российской Федерации об административных правонарушениях установлено, что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Административное правонарушение было совершено 19 февраля 2025 года, а оспариваемое постановление вынесено только 21 марта 2025 года, т.е. с пропуском срока, установленного ч. 1 ст. 29.6 Кодекса Российской Федерации об административных правонарушениях. Вместе с тем, это обстоятельство не является основанием для отмены оспариваемого постановления, поскольку указанный срок не является пресекательным. Доводы подателя жалобы о неправильном применении расчета превышения допустимых параметров нагрузки на ось, о необходимости определения расчета превышения по группе осей, а не по отдельной оси, о превышении при этом допустимой нагрузки на величину, не образующую состав административного правонарушения, вызваны ошибочным толкованием положений Приложения N 3 к Правилам перевозок грузов автомобильным транспортом. Приводимые в жалобе положения Приложения N 3 к Правилам перевозок грузов автомобильным транспортом о том, что под нагрузкой на ось понимается масса, соответствующая нагрузке, передаваемой осью на опорную поверхность; для групп сближенных сдвоенных и строенных осей - допустимая нагрузка на группу осей, представляют собой разъяснения к приведенной в данном приложении таблицы с числовыми показателями допустимых нагрузок. Каких-либо сомнений в правильности измерений нагрузки на ось N 3 транспортного средства, в том числе с учетом вышеуказанных обстоятельств, вопреки доводам жалобы, не имеется. При правильно определенной фактической нагрузке с учетом погрешности в 9,108, правильно рассчитано и превышение допустимой нагрузки на ось транспортного средства (исходя из допустимой нагрузки 7,5 т) на 21,44%, данные сведения должным образом занесены в акт. Акт N 259 от 19 февраля 2025 года является надлежащим доказательством, содержит достоверные и не вызывающие сомнения сведения в части допущенного превышения допустимой нагрузки на ось N 3 транспортного средства. Часть 1 статьи 4.1.1 Кодекса Российской Федерации об административных правонарушениях, действующая во взаимосвязи с положениями статьи 3.4 данного Кодекса, предусматривает возможность замены административного наказания в виде административного штрафа предупреждением в качестве одного из способов индивидуализации административного наказания. По смыслу вышеуказанных законоположений основанием для применения такой преференции являются совокупность следующих условий: административное правонарушение должно быть совершено впервые; административное правонарушение должно быть выявлено в ходе осуществления государственного контроля (надзора), муниципального контроля; административное правонарушение не должно быть поименовано в части 2 статьи 4.1.1 Кодекса Российской Федерации об административных правонарушениях; отсутствует причинение вреда или возникновение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отсутствует имущественный ущерб. Обязательным условием для замены административного штрафа предупреждением является отсутствие имущественного ущерба (ч. 2 ст. 3.4 Кодекса Российской Федерации об административных правонарушениях). В соответствии с положениями статьи 31 Федерального закона N 257-ФЗ движение по автодорогам транспорта, перевозящего тяжеловесные грузы, допускается при наличии специального разрешения. При этом при получении специального разрешения владелец транспортного средства, осуществляющий перевозки тяжеловесных грузов, обязан возместить вред, причиняемый таким транспортным средством автомобильным дорогам. Плата в счет возмещения вреда вносится при оформлении разрешения, а размер такой платы зависит, в том числе, от превышения предельно допустимых массы транспорта и осевых нагрузок. Таким образом, превышение показателей нагрузки на ось транспортного средства также предполагает причинение владельцем такого транспортного средства негативных последствий автомобильным дорогам в виде разрушения дорожного полотна, что причиняет имущественный ущерб владельцу автомобильной дороги, а также существенно ухудшает условия безопасности дорожного движения для всех участников дорожного движения. Данные обстоятельства исключают возможность замены административного штрафа на предупреждение. Согласно ст. 2.9 Кодекса Российской Федерации об административных правонарушениях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Оснований для применения положений ст. 2.9 Кодекса Российской Федерации об административных правонарушениях не усматривается. В силу ч. 2 ст. 4.1 Кодекса Российской Федерации об административных правонарушениях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 Обстоятельств, смягчающих или отягчающих административную ответственность, не установлено. В соответствии с ч. 2.2 ст. 4.1 КоАП РФ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 При таких обстоятельствах, а также учитывая отсутствие отягчающих обстоятельств по делу, суд считает, что назначенное ФИО1 административное наказание в виде административного штрафа в сумме 525 000 рублей не соответствует характеру совершенного им административного правонарушения, а также может повлечь избыточное ограничение прав привлекаемого лица, и с учетом конкретных обстоятельств дела, в связи с чем полагает возможным снизить размер назначенного ФИО3 административного наказания ниже низшего предела, предусмотренного санкцией ч. 3 ст. 12.21.2 КоАП РФ, но до размера не менее половины минимального размера. Находя данные обстоятельства исключительными, считаю необходимым уменьшить назначенный ФИО1 административный штраф, до 262 500 рублей. На основании изложенного, руководствуясь ст. ст. 30.7 , 30.8 Кодекса Российской Федерации об административных правонарушениях, р е ш и л: Жалобу ФИО1 удовлетворить частично. Постановление № 10677481250537156824, вынесенное 21 марта 2025 года государственным инспектором МТУ Ространснадзора по ЦФО ФИО2, которым ФИО1 привлечен к административной ответственности, установленной ч. 3 ст. 12.21.1 Кодекса Российской Федерации об административных правонарушениях, изменить, уменьшив административный штраф с 525 000 рублей до 262 500 рублей. На решение может быть подана жалоба в Камчатский краевой суд в течение десяти дней со дня вручения или получения копии решения. Судья С.А. Почуева Суд: Елизовский районный суд (Камчатский край) (подробнее) Судьи дела: Почуева Светлана Анатольевна (судья) (подробнее) Последние документы по делу: Определение от 4 декабря 2025 г. по делу № 12-99/2025 Решение от 11 августа 2025 г. по делу № 12-99/2025 Решение от 19 февраля 2025 г. по делу № 12-99/2025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