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Неровности поверхности стен величиной более 5 мм при замере на отдельном поверхности длиной 2 м (п.2 Приказа): - в прихожей - в средней части стены (стена с входным дверным блоком) отклонения глубиной 6 мм на участке площадью 0,25 кв.м.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Просветы между контрольной двухметровой рейкой и проверяемой поверхностью элемента пола, превышающие допустимые предельные отклонения в 2 мм (п. 9 Приказа): - в прихожей - просветы глубиной 3 мм, на площади 1,10 кв.м.; - в жилой комнате (гостиная) - просветы глубиной 3 мм, на площади 3,52 кв.м.; - в жилой комнате (спальня) – просветы глубиной 3 мм, на площади 0,90 кв.м.; - в помещении кухни - просветы глубиной 3 мм, на площади 0,56 кв.м. В) Недостатки (дефекты) в строительных и отделочных работах в помещениях &lt;адрес&gt;, расположенной в многоквартирном доме по адресу: &lt;адрес&gt;, выявленные экспертом в ходе натурного осмотра, носят производственный характер (производственные дефекты). Следственно, недостатки (дефекты), описанные в исследовательской части по второму и шестому вопросам данного заключения, являются следствием несоблюдения застройщиком требований нормативно-технической документации (СНиП, СП и ГОСТ). Г) На основании расчета, приведенного в Приложении к экспертному заключению (Локальная смета № 3), стоимость работ и материалов, необходимых для устранения строительных недостатков, связанных с нарушениями требований Приказа Министерства строительства и жилищно-коммунального хозяйства Российской Федерации от 19 февраля 2025 года № 91/пр, в квартире, расположенной в многоквартирном доме по адресу: &lt;адрес&gt;, на момент производства экспертизы с учетом НДС и без учета коэффициента 1,5 к оплате труда рабочих (производство ремонтно-строительных работ осуществляется в жилых помещениях без расселения, приказ Министерства строительства и жилищно-коммунального хозяйства Российской Федерации от 07.07.2022 № 557/пр), составляет: 46 702,54 руб. На основании расчета, приведенного в Приложении к экспертному заключению (Локальная смета №4), стоимость работ и материалов, необходимых для устранения строительных недостатков, связанных с нарушениями требований Приказа Министерства строительства и жилищно-коммунального хозяйства Российской Федерации от 19 февраля 2025 года № 91/пр, в квартире, расположенной в многоквартирном доме по адресу: &lt;адрес&gt;, на момент производства экспертизы с учетом НДС и с учетом коэффициента 1,5 к оплате труда рабочих (производство ремонтно-строительных работ осуществляется в жилых помещениях без расселения, приказ Министерства строительства и жилищно-коммунального хозяйства Российской Федерации от 07.07.2022 № 557/пр), составляет: 67 076,50 руб. Д) Уменьшение покупной цены квартиры, расположенной по адресу: &lt;адрес&gt;, в ценах актуальных на момент производства экспертизы, равняется: - стоимости затрат, необходимых для устранения строительных недостатков, связанных с нарушениями строительных норм и правил, обычно предъявляемых к качеству строительных и отделочных работ в рассматриваемой квартире, без учета коэффициента 1,5 к оплате труда рабочих (производство ремонтно-строительных работ осуществляется в жилых помещениях без расселения, приказ Министерства строительства и жилищно-коммунального хозяйства Российской Федерации от 07.07.2022 № 29057/пр), что составляет (см. Локальную смету №1): 205 192,37 руб. Либо (на усмотрение суда) - стоимости затрат, необходимых для устранения строительных недостатков, связанных с нарушениями требований Приказа Министерства строительства и жилищно-коммунального хозяйства Российской Федерации от 19 февраля 2025 года № 91/пр в рассматриваемой квартире, без учета коэффициента 1,5 к оплате труда рабочих (производство ремонтно-строительных работ осуществляется в жилых помещениях без расселения, приказ Министерства строительства и жилищно-коммунального хозяйства Российской Федерации от 07.07.2022 № 29057/пр), что составляет (см. Локальную смету №3): 46 702,54 руб. I. В выполненных застройщиком строительных и отделочных работах в помещениях &lt;адрес&gt;, расположенной в многоквартирном доме по адресу: &lt;адрес&gt;, имеются недостатки и нарушения действующих строительных норм и правил, обычно предъявляемых требований к качеству строительных работ,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Требований п.7.1.8, п.7.3.1, п.7.3.5 и п.7.5.3 СП 71.13330.2017 «Изоляционные и отделочные покрытия. Актуализированная редакция СНиП 3.04.01-87» - при обследовании на откосах оконных блоков в жилых комнатах (гостиная и спальня) и балконного (дверного) блока в помещении кухни, выявлены дефекты в виде трещин на окрашенных поверхностях, отслоений окрасочного слоя со шпатлевкой (причины - дефекты подготовки основания перед шпатлевкой и окраской).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Требований п.6.6.3 ГОСТ 12504-2015 «Панели стеновые внутренние бетонные и железобетонные для жилых и общественных зданий. Общие технические условия (Переиздание)» - при обследовании стен двухметровой рейкой, на отдельных стенах помещений квартиры выявлены отклонения от прямолинейности поверхностей железобетонных панелей, превышающие допустимые предельные отклонения в 5 мм, а именно: в прихожей - в средней части стены (стена с входным дверным блоком) отклонения глубиной 6 мм на участке площадью 0,25 кв.м.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Требований п.7.4.17 (Табл. 7.6) СП 71.13330.2017 «Изоляционные и отделочные покрытия. Актуализированная редакция СНиП 3.04.01-87» - при измерительном контроле на отдельных стенах совмещенного санузла квартиры, облицованных керамическими плитками, выявлены неровности плоскости облицовки в 3 мм, превышающие допустимые предельные отклонения в 2 мм.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Требований п. 7.1.8, п. 7.1.9 (Табл. 7.1) и п. 7.4.3 СП 71.13330.2017 «Изоляционные и отделочные покрытия. Актуализированная редакция СНиП 3.04.01-87» - на момент обследования стен совмещенного санузла квартиры, облицованных керамической плиткой, выявлены дефекты в виде отслоения отдельных плиток от стен (отсутствие сцепления между плиткой и стеной - при простукивании изменение характера звучания («глухой» звук)). К причинам образования данного дефекта относятся - неправильный подбор раствора, не очищенная поверхность от пыли или некачественная обработка оснований из монолитного или сборного железобетона.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Требований п.8.14.1 (Табл. 8.15) СП 71.13330.2017 «Изоляционные и отделочные покрытия. Актуализированная редакция СНиП 3.04.01-87» - при обследовании полов в помещении квартиры, выявлены просветы между двухметровой рейкой и поверхностью пола, превышающие допустимые предельные отклонения в 2 мм, а именно: - в прихожей - просветы глубиной 3 мм, на площади 1,10 кв.м.; - в жилой комнате (гостиная) - просветы глубиной 3 мм, на площади 3,52 кв.м.; - в жилой комнате (спальня) - просветы глубиной 3 мм, на площади 0,90 кв.м.; - в помещении кухни - просветы глубиной 3 мм, на площади 0,56 кв.м.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Требований п.7.4.13 СП 71.13330.2017 «Изоляционные и отделочные покрытия, Актуализированная редакция СНиП 3.04.01-87» - при обследовании поверхности пола из керамической плитки в совмещенном санузле квартиры на отдельных участках зафиксирована различная ширина затирочного шва.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Требований п.4.3.3.2. ГОСТ 28786-2019 «Блоки дверные деревянные и комбинированные. Определение свойств в различных климатических условиях (с Поправкой)» - при измерительном контроле межкомнатных дверных блоков квартиры выявлены отклонения от вертикали, превышающие допустимые предельные отклонения в 2,0 мм на 1 м длины блока, а именно: - в жилой комнате (спальня) - отклонение дверного блока от вертикали составляет 3,5 мм на 1 метр (7 мм на высоту блока); - в совмещенном санузле - отклонение дверного блока от вертикали составляет 2,5 мм на 1 метр (5 мм на высоту блока); - в помещении кухни - отклонение дверного блока от вертикали составляет 2,5 мм на 1 метр (5 мм на высоту блока).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Требований п.Г.6 Приложения «Г» ГОСТ 31173-2016 «Блоки дверные стальные. Технические условия» - при измерительном контроле входного металлического дверного блока квартиры выявлены отклонения от вертикали, превышающие допустимые предельные отклонения в 1,5 мм на 1 м длины блока - отклонение дверного блока от вертикали составляет 2,5 мм на 1 метр (5 мм на высоту блока).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Требований п.5.1.6. ГОСТ 23166-99 «Блоки оконные. Общие технические условия» - при обследовании установлено, что оконный блок в жилой комнате (гостиная) имеет две глухие створки из трех.</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Требований Табл. Ж1 приложения Ж ГОСТ 34378-2018 «Конструкции ограждающие светопрозрачные. Окна и двери. Производство монтажных работ, контроль и требования к результатам работ» - при измерительном контроле оконного блока в жилой комнате (гостиная) квартиры, выявлены отклонения от вертикали в 5 мм на высоту изделия, превышающие допустимые предельные отклонения в 3,0 мм на высоту изделия.</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Требований п.5.3.2.2. ГОСТ Р 56926-2016 «Конструкции оконные и балконные различного функционального назначения для жилых зданий. Общие технические условия» - при обследовании установлено, что остекление лоджии квартиры имеет три глухие створки из шести.</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Требований п.5.3.2.5. (в) ГОСТ Р 56926-2016 «Конструкции оконные и балконные различного функционального назначения для жилых зданий. Общие технические условия» - при обследовании установлено, что защитное ограждение лоджии квартиры - отсутствует. II. Проектная документация объекта исследования, представленная в материалах дела, содержит информацию о видах отделки и инженерно-технического обеспечения квартиры. Указанные в проектной документации работы в исследуемой квартире произведены. Следовательно, выполненные работы проектной документации соответствуют. III. Устранение выявленных недостатков. На основании расчета, приведенного в Приложении к экспертному заключению (Локальная смета №1), стоимость работ и материалов, необходимых для устранения строительных недостатков, связанных с нарушениями строительных норм и правил, обычно предъявляемых к качеству строительных и отделочных работ, в квартире, расположенной в многоквартирном доме по адресу: &lt;адрес&gt;, на момент производства экспертизы с учетом НДС и без учета коэффициента 1,5 к оплате труда рабочих (производство ремонтно-строительных работ осуществляется в жилых помещениях без расселения, приказ Министерства строительства и жилищно-коммунального хозяйства Российской Федерации от 07.07.2022 № 557/пр), составляет: 205 192,37 руб. На основании расчета, приведенного в Приложении к экспертному заключению (Локальная смета №2), стоимость работ и материалов, необходимых для устранения строительных недостатков, связанных с нарушениями строительных норм и правил, обычно предъявляемых к качеству строительных и отделочных работ, в квартире, расположенной в многоквартирном доме по адресу: &lt;адрес&gt;, на момент производства экспертизы с учетом НДС и с учетом коэффициента 1,5 к оплате труда рабочих (производство ремонтно-строительных работ осуществляется в жилых помещениях без расселения, приказ Министерства строительства и жилищно-коммунального хозяйства Российской Федерации от 07.07.2022 № 557/пр), составляет: 270 771,68 руб. Примечание эксперта: Работы, направленные на устранение строительных недостатков, возникших по причине нарушения Подрядчиком (Застройщиком) строительных норм и правил, обычно предъявляемых к качеству строительных и отделочных работ, в том числе, в результате допущенных при производстве работ отступлений от проектных решений, на объектах строительства, по сути своей относятся - к текущему ремонту. В связи с чем, коэффициент в размере 1,5, учитывающий влияния условий производства работ, а именно «Производство ремонтно-строительных работ в жилых помещениях без расселения» - в рассматриваемом случае не применяется (л.д. 117-196). Суд принимает заключение судебной экспертизы в качестве допустимого доказательства по делу, поскольку оснований не доверять данному заключению экспертизы у суда не имеется, экспертное исследование проводилось экспертом, предупрежденным об уголовной ответственности за дачу заведомо ложного заключения, имеющим соответствующую квалификацию, стаж экспертной работы, экспертное заключение соответствует требованиям статьи ГПК Российской Федерации, содержит подробное описание проведенного исследования, сделанные в результате его выводы и ответы на поставленные судом вопросы неясностей не содержат, выводы эксперта основаны на материалах дела. Сторонами заключение судебной экспертизы не оспорено. Коэффициент 1,5 (производство работ осуществляется в жилых помещениях без расселения) применяется к затратам труда рабочих и машинистов, затратам на эксплуатацию машин и механизмов, предусмотренный пунктом 8 Таблицы 5 Приложения № 10 Приказа Минстроя России от 4 августа 2020 г. № 421/пр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Указанный коэффициент применяется тогда, когда имеет место пересечение людских потоков - рабочих с жильцами домов либо с сотрудниками учреждений и организаций в коридорах, на лестничных клетках и т.д. Если часть существующего строения, этаж, либо часть этажа отсечена от остального здания и рабочие, выполняющие ремонтно-строительные работы, не пересекаются в местах общего пользования (коридорах, лестничных площадках и т.д.) с жильцами домов либо сотрудниками организаций или учреждений, где производятся ремонтно-строительные работы, т.е. в ту часть здания, где производятся ремонтно-строительные работы, ведет автономный вход, которым другие не пользуются, применять упомянутый коэффициент не следует. При этом высвобождение отдельных помещений для производства ремонтно-строительных работ не следует считать расселением. Данный вывод подтверждается многочисленными письмами Федерального агентства по строительству и жилищно-коммунальному хозяйству, среди которых: письмо от 2 июня 2005 г. № 6-443; письмо от 20 апреля 2005 г. № 6-308; письмо от 15 марта 2005 г. №6-182; письмо от 2 марта 2005 г. №6-128. Согласно п. 4.4 ВСН 58-88 (р) «Положение об организации и проведении реконструкции, ремонта и технического обслуживания зданий, объектов коммунального и социально-культурного назначения» (утв. Приказом Госкомархиктуры при Госстрое СССР от 23 ноября 1988 г. № 312) при производстве текущего ремонта здания подрядным способом следует применять принципы ценообразования и порядок оплаты выполненных работ, предусмотренные для капитального ремонта. Согласно п.1 приказа Минстроя России от 26 апреля 2021 г. № 258/пр «О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Минстроя России от 4 августа 2020 г. № 421/пр» по решению застройщика или технического заказчика (далее - заказчик) отдельные положения Методики могут применяться при определении сметной стоимости текущего ремонта объектов капитального строительства, ремонта автомобильных дорог, а также при определении сметной стоимости строительства некапитальных строений и сооружений, неотделимых улучшений земельного участка (замощение, покрытие и другое). Нормативы «Методики по разработке и применению нормативов накладных расходов при определении сметной стоимости строительства, реконструкции, капитального ремонта, сноса объектов капитального строительства», утвержденной приказом Министерства строительства и жилищно-коммунального хозяйства Российской Федерации от 21 декабря 2020 года № 812/пр. и Методики по разработке и применению нормативов сметной прибыли при определении сметной стоимости строительства, реконструкции, капитального ремонта, сноса объектов капитального строительства (далее - Методика), предназначены для определения методов разработки и применения нормативов сметной прибыли, используемых при определении сметной стоимости строительства, реконструкции, капитального ремонта, сноса объектов капитального строительства, с применением ресурсно-индексного и ресурсного методов. Ресурсно-индексный метод или РИМ - это сочетание ресурсного метода с системой индексов на стройресурсы. Соответственно в данном случае Базисно-индексный метод расчета и Ресурсно-индексный метод - это разные методы расчета стоимости строительной продукции. Переход расчетов на Ресурсно-индексный метод или РИМ в Воронежской области осуществлен в соответствии с Письмом Минстроя России от 11 июня 2024 № 32641-ИФ/09 «О расчете индексов изменения сметной стоимости строительства по группам однородных строительных ресурсов на 2 квартал 2024 года, предназначенных для определения сметной стоимости строительства ресурсно-индексным методом», в соответствии с которым осуществляется расчет индексов на строительные ресурсы. Спорная квартира является жилым помещением, которое в настоящее время заселено, оборудовано мебелью и бытовой техникой. Данное обстоятельство объективно установлено в ходе осмотра квартиры при проведении судебной экспертизы и не оспорено ответчиком. Следовательно, производство работ, необходимых для устранения недостатков, будет происходить в жилом здании без расселения. В этой связи при расчете суммы в счет стоимости строительных недостатков квартиры следует применять коэффициент 1,5, так как проживание людей, как в спорной квартире, так и в иных квартирах жилого дома, наличие мебели и бытовой техники является усложняющим фактором производства работ, поскольку рабочие, выполняющие ремонтно-строительные работы, пересекаются в местах общего пользования (коридорах, лестничных площадках и т.д.) с жильцами дома либо с сотрудниками организаций и учреждений, где производятся ремонтно-строительные работы. Оценив представленные по делу доказательства, учитывая установленные по делу обстоятельства, которыми подтвержден факт наличия в квартире истца строительных недостатков, выводы экспертного заключения, согласно которым общая стоимость работ и материалов, необходимых для устранения выявленных строительных недостатков составляет 270 771,68 руб. с учетом коэффициента 1,5 к оплате труда рабочих, суд полагает возможным взыскать с ответчика в пользу истца в счет соразмерного уменьшения цены договора денежные средства в размере 270 771,68 руб. Согласно ст. Закона РФ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В соответствии со ст. 1101 ГК РФ , компенсация морального вреда осуществляется в денежной форме.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Как разъяснено в п. 45 Постановления Пленума Верховного Суда Российской Федерации от 28.06.2012 № 17 «О рассмотрении судами гражданских дел по спорам о защите прав потребителей»,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Размер компенсации морального вреда определяется судом независимо от размера возмещения имущественного вреда, в связи с чем размер денежной компенсации, взыскиваемой в возмещение морального вреда, не может быть поставлен в зависимость от стоимости товара (работы, услуги) или суммы подлежащей взысканию неустойки. Размер присуждаемой потребителю компенсации морального вреда в каждом конкретном случае должен определяться судом с учетом характера причиненных потребителю нравственных и физических страданий исходя из принципа разумности и справедливости. В ходе рассмотрения дела установлено нарушение ответчиком прав истца, как потребителя, поскольку ему передана квартира с недостатками. Принимая во внимание характер перенесенных страданий, вследствие нарушения прав и законных интересов истцов, степень вины ответчика, исходя из требований разумности и справедливости, суд считает возможным взыскать с ответчика в пользу истца компенсацию морального вреда в размере 3 000,00 руб. Согласно ст. Закона РФ "О защите прав потребителей" 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подлежат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 За нарушение указанного срока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(ч. 1 ст. Закона РФ "О защите прав потребителей"). Из материалов дела следует, что истец 09.01.2025г. обратился к АО СЗ «ДСК» с претензией о возмещении стоимости устранения строительных недостатков, которая получена ответчиком 13.01.2025г., однако данное требование им в течение десяти дней удовлетворено не было. Поскольку ответчик в установленный законом срок не удовлетворил требования потребителя, суд приходит к выводу о наличии оснований для взыскания неустойки в размере 1% за каждый день просрочки. Расчет неустойки за период с 24.01.2025г. по 27.08.2025г. составляет: 2 749 960,00 (цена договора купли-продажи) х 1% х 216 дней = 5 939 913,60 руб. Истцом самостоятельно снижен размер неустойки до 584 866,82 руб., исходя из стоимости устранения строительных недостатков. Ответчиком заявлено о снижении размера неустойки по ст. 333 ГК РФ , ввиду её несоразмерности последствиям нарушения обязательств. В силу ст. 333 ГК РФ , если подлежащая уплате неустойка явно несоразмерна последствиям нарушения обязательства, суд вправе уменьшить неустойку. В постановлении Пленума Верховного Суда РФ от 24.03.2016 N 7 "О применении судами некоторых положений Гражданского кодекса Российской Федерации об ответственности за нарушение обязательств" разъяснено, что если должником является коммерческая организация, индивидуальный предприниматель, а равно некоммерческая организация при осуществлении ею приносящей доход деятельности, снижение неустойки судом допускается только по обоснованному заявлению такого должника, которое может быть сделано в любой форме (п. 71). Бремя доказывания несоразмерности неустойки и необоснованности выгоды кредитора возлагается на ответчика. Несоразмерность и необоснованность выгоды могут выражаться, в частности, в том, что возможный размер убытков кредитора, которые могли возникнуть вследствие нарушения обязательства, значительно ниже начисленной неустойки (п. 73). Возражая против заявления об уменьшении размера неустойки, кредитор не обязан доказывать возникновение у него убытков (пункт 1 статьи 330 ГК РФ ), но вправе представлять доказательства того, какие последствия имеют подобные нарушения обязательства для кредитора, действующего при сравнимых обстоятельствах разумно и осмотрительно, например, указать на изменение средних показателей по рынку (процентных ставок по кредитам или рыночных цен на определенные виды товаров в соответствующий период, валютных курсов и т.д.) (п. 74). При оценке соразмерности неустойки последствиям нарушения обязательства необходимо учитывать, что никто не вправе извлекать преимущества из своего незаконного поведения, а также то, что неправомерное пользование чужими денежными средствами не должно быть более выгодным для должника, чем условия правомерного пользования. Доказательствами обоснованности размера неустойки могут служить, в частности, данные о среднем размере платы по краткосрочным кредитам на пополнение оборотных средств, выдаваемым кредитными организациями лицам, осуществляющим предпринимательскую деятельность, либо платы по краткосрочным кредитам, выдаваемым физическим лицам, в месте нахождения кредитора в период нарушения обязательства, а также о показателях инфляции за соответствующий период. Установив основания для уменьшения размера неустойки, суд снижает сумму неустойки (п. 75). Правила о снижении размера неустойки на основании статьи 333 ГК РФ применяются также в случаях, когда неустойка определена законом (п. 78). В Определении Конституционного Суда РФ от 21.12.2000 N 263-О указано на то, что предоставленная суду возможность снижать размер неустойки в случае ее чрезмерности по сравнению с последствиями нарушения обязательств является одним из правовых способов, предусмотренных в законе, которые направлены против злоупотребления правом свободного определения размера неустойки, т.е., по существу, - на реализацию требования статьи (часть 3) Конституции Российской Федерации, согласно которой осуществление прав и свобод человека и гражданина не должно нарушать права и свободы других лиц. Именно поэтому в части первой статьи ГК Российской Федерации речь идет не о праве суда, а, по существу, о его обязанности установить баланс между применяемой к нарушителю мерой ответственности и оценкой действительного (а не возможного) размера ущерба, причиненного в результате конкретного правонарушения. Таким образом, исходя из анализа действующего законодательства, неустойка представляет собой меру ответственности за нарушение исполнения обязательств, носит воспитательный и карательный характер для одной стороны и одновременно, компенсационный для другой стороны, то есть является средством возмещения потерь, вызванных нарушением обязательств, и не может являться способом обогащения одной из сторон. Под соразмерностью суммы неустойки последствиям нарушения обязательства предполагается выплата кредитору такой компенсации его потерь, которая будет адекватна и соизмерима с нарушенным интересом. Степень соразмерности заявленной истцами неустойки последствиям нарушения обязательства является оценочной категорией, оценка указанному критерию отнесена к компетенции суда первой инстанции и производится им по правилам статьи 67 ГПК РФ , исходя из своего внутреннего убеждения, основанного на всестороннем, полном, объективном и непосредственном исследовании всех обстоятельств дела. Принимая во внимание установленные по делу обстоятельства, в том числе вид и объем выявленных недостатков, не препятствующих эксплуатации квартиры; период просрочки; соотношение размера неустойки размеру основного обязательства, свидетельствующее о том, что возможный размер убытков истца, которые могли возникнуть вследствие нарушения обязательства ответчиком, значительно ниже начисленной неустойки; исходя из общих принципов разумности и справедливости и компенсационного характера неустойки, суд приходит к выводу о снижении размера неустойки в порядке ст. 333 ГК РФ до 80 000,00 руб. Данная сумма является соразмерной нарушенным обязательствам, при этом с учетом всех обстоятельств дела сохраняется баланс интересов сторон. По мнению суда, взыскание неустойки в большем размере будет противоречить правовым принципам обеспечения восстановления нарушенного права и соразмерности ответственности правонарушению, что придаст правовой природе неустойки не компенсационный, а карательный характер. К тому же истцом заявлено о продолжении начисления неустойки по день фактического исполнения решения суда. В п. 65 постановления Пленума Верховного Суда РФ от 24.03.2016 N 7 "О применении судами некоторых положений Гражданского кодекса Российской Федерации об ответственности за нарушение обязательств" разъяснено, что по смыслу статьи 330 ГК РФ , истец вправе требовать присуждения неустойки по день фактического исполнения обязательства (в частности, фактической уплаты кредитору денежных средств, передачи товара, завершения работ). Законом или договором может быть установлен более короткий срок для начисления неустойки, либо ее сумма может быть ограничена. Присуждая неустойку, суд по требованию истца в резолютивной части решения указывает сумму неустойки, исчисленную на дату вынесения решения и подлежащую взысканию, а также то, что такое взыскание производится до момента фактического исполнения обязательства. При этом день фактического исполнения нарушенного обязательства, в частности, день уплаты задолженности кредитору, включается в период расчета неустойки. Следовательно, подлежат удовлетворению требования истцов о взыскании неустойки в размере 1% от суммы задолженности с 28.08.2025г. по день фактического исполнения решения суда от стоимости устранения строительных недостатков. Согласно п. 6 ст. Закона РФ «О защите прав потребителей» при удовлетворении судом требований потребителя, установленных законом, суд взыскивает с изготовителя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Штраф является одним из видов неустойки (п. 1 ст. Гражданского кодекса РФ) и суд вправе уменьшить размер штрафа, если он явно несоразмерен последствиям нарушения обязательства. Размер присужденной судом компенсации морального вреда учитывается при определении размера штрафа. Расчет штрафа: (270 771,68 руб. + 3 000,00 + 80 000,00) * 50% = 176 885,84 руб. Ответчиком заявлено о снижении размера штрафа по ст. Гражданского кодекса РФ по основаниям его несоразмерности последствиям нарушения обязательств. Согласно разъяснениям, содержащимся в п. 34 постановления Пленума Верховного Суда Российской Федерации от 28.06.2012г. №17 «О рассмотрении судами гражданских дел по спорам о защите прав потребителей», применение статьи Гражданского кодекса Российской Федерации по делам о защите прав потребителей возможно в исключительных случаях и по заявлению ответчика с обязательным указанием мотивов, по которым суд полагает, что уменьшение размера неустойки является допустимым. В постановлении Пленума Верховного Суда Российской Федерации от 24 марта 2016 года №7 «О применении судами некоторых положений Гражданского кодекса Российской Федерации об ответственности за нарушение обязательств» разъяснено, что бремя доказывания несоразмерности неустойки и необоснованности выгоды кредитора возлагается на ответчика. Несоразмерность и необоснованность выгоды могут выражаться, в частности, в том, что возможный размер убытков кредитора, которые могли возникнуть вследствие нарушения обязательства, значительно ниже начисленной неустойки (часть 1 статьи Гражданского процессуального кодекса Российской Федерации). Предоставленная суду возможность снижать размер неустойки (штрафа) в случае ее чрезмерности по сравнению с последствиями нарушения обязательств является одним из правовых способов, предусмотренных в законе, которые направлены против злоупотребления правом свободного определения размера неустойки, то есть, по существу, - на реализацию требования ст. (ч. 3) Конституции Российской Федерации, согласно которой осуществление прав и свобод человека и гражданина не должно нарушать права и свободы других лиц. Именно поэтому в ч. 1 ст. Гражданского кодекса Российской Федерации речь идет, по существу, об обязанности суда установить баланс между применяемой к нарушителю мерой ответственности и оценкой действительного (а не возможного) размера ущерба, причиненного в результате конкретного правонарушения. Учитывая компенсационный характер гражданско-правовой ответственности, под соразмерностью суммы неустойки (штрафа) последствиям нарушения обязательства Гражданский кодекс Российской Федерации предполагает выплату кредитору такой компенсации его потерь, которая будет адекватна и соизмерима с нарушенным интересом. Наличие оснований для снижения неустойки (штрафа) и критерии соразмерности определяются судом в каждом конкретном случае самостоятельно исходя из установленных по делу обстоятельств. При оценке соразмерности неустойки (штрафа) последствиям нарушения обязательства необходимо учитывать, что никто не вправе извлекать преимущества из своего незаконного поведения, а также то, что неправомерное пользование чужими денежными средствами не должно быть более выгодным для должника, чем условия правомерного пользования (пункты 3, 4 статьи Гражданского кодекса Российской Федерации). Принимая во внимание, что штраф, как мера ответственности за несоблюдение в добровольном порядке удовлетворения требований потребителя (п. 6 ст. Закона РФ «О защите прав потребителей») имеет компенсационную природу, направлен на восстановление нарушенных прав потребителя и не должен служить средством его обогащения, суд полагает возможным в рассматриваемом случае снизить размер штрафа до 80 000,00 руб. По мнению суда, данная сумма штрафа соответствует мере ответственности ответчика за нарушение обязательств и способствует соблюдению баланса интересов сторон. Также истец ФИО2 просит взыскать с ответчика в свою пользу расходы по оплате досудебной экспертизы в размере 50 000,00 руб., расходы на оплату услуг представителя в размере 30 000,00 руб. В силу ст. 94 ГПК РФ к издержкам, связанным с рассмотрением дела относятся расходы на оплату услуг представителя, другие признанные судом необходимыми расходы. Согласно ч. 1 ст.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соответствии с ч. 1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Как усматривается из материалов дела, между ФИО2 и адвокатами Дудиковым Е.А., Дудиковой Ю.В., действующими в составе «Адвокатской конторы Дудикова Е.А.» заключен договор об оказании юридической помощи от 27.11.2024г. (л.д. 208). В соответствии с п. 3.2 договора, установлена стоимость оказываемых услуг: составление искового заявления - 10 000,00 руб., участие в судебных заседаниях - 10 000,00 руб. за день занятости. Представитель истца адвокат Пальчикова Т.Е. составляла исковое заявление (л.д. 4-6), участвовала в судебном заседании Советского районного суда г. Воронежа 13.03.2025г. (л.д. 112) по ордеру (л.д. 77); адвокат Дудиков Е.А. участвовал в судебном заседании Советского районного суда г. Воронежа 27.08.2025г. по ордеру (л.д. 206). Услуги представителей оплачены истцом в размере 30 000,00 руб., что подтверждается квитанцией к приходному кассовому ордеру от 27.08.2025г., составлен акт о приемке оказанных услуг (л.д. 209, 211). В п. 11 постановления Пленума Верховного Суда РФ от 21.01.2016 года N 1 "О некоторых вопросах применения законодательства о возмещении издержек, связанных с рассмотрением дела" разъяснено, что, 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нее расходов. Вместе с тем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В п. 13 постановления Пленума Верховного Суда РФ от 21.01.2016 N 1 указано, что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Тем самым, критерий разумности, используемый при определении суммы возмещаемых расходов на оплату услуг представителя, является оценочным. При этом оценке подлежит не цена услуги, формируемая исполнителем, а именно стоимость услуг по представлению интересов заказчика в конкретном деле, их целесообразность и эффективность. Разумность пределов расходов подразумевает, что этот объем услуг с учетом сложности дела должен отвечать требованиям необходимости и достаточности. Постановление Совета Адвокатской палаты Воронежской области «О минимальных ставках вознаграждения за оказываемую юридическую помощь» носит рекомендательный характер для самих адвокатов, но не для суда, который должен руководствоваться положениями ст. 100 ГПК РФ с учетом разъяснений, данных в постановлении Пленума Верховного Суда РФ от 21.01.2016 N 1. Исходя из правовой позиции Конституционного суда РФ, выраженной в определении от 20.10.2005 года № 355-О, обязанность суда взыскивать расходы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на реализацию требования ст. 17 Конституции РФ. Представитель ответчика в судебном заседании просил суд снизить размер судебных расходов до разумных пределов. С учетом вышеизложенного, суд исходит из конкретных обстоятельств дела, его сложности, количества судебных заседаний и их продолжительности, объема оказанных представителем услуг, учитывая типовую категорию дела, а также принцип разумности и справедливости, суд считает возможным снизить размер взыскиваемых судебных расходов на оплату услуг представителя: за составление искового заявления - до 6 000,00 руб., за участие представителя в судебном заседании - до 6 000,00 руб. за каждое судебное заседание х 2 дня = 12 000,00 руб., а всего 18 000,00 руб. Суд считает, что указанная сумма будет отвечать требованиям разумности и справедливости. Договором № Э-1780-24-ДЕА-КФ от 21.12.2024г. на проведение строительно-технической экспертизы, актом приема-сдачи оказанных услуг от 27.12.2024г. и квитанцией к приходному кассовому ордеру от 27.12.2024г. подтверждается оплата ФИО2 за производство строительно-технической экспертизы в размере 50 000,00 руб. (л.д. 18, 19-20, 21, 210). В п. 2 постановления Пленума Верховного Суда РФ от 21.01.2016 N 1 разъяснено, что расходы, понесенные истцом в связи с собиранием доказательств до предъявления искового заявления в суд, могут быть признаны судебными издержками, если несение таких расходов было необходимо для реализации права на обращение в суд и собранные до предъявления иска доказательства соответствуют требованиям относимости, допустимости. Например, истцу могут быть возмещены расходы на проведение досудебного исследования состояния имущества, на основании которого впоследствии определена цена предъявленного в суд иска, его подсудность. Учитывая, что понесенные расходы подтверждены надлежащим образом оформленными платежными документами, на основании ст. ГПК Российской Федерации данные расходы подлежат взысканию с ответчика в пользу истца. В то же время, исходя из требований добросовестности (ч. 1 ст. 35 ГПК РФ ) расходы на оплату досудебного исследования взыскиваются в разумных пределах, под которыми следует понимать расходы, обычно взимаемые за аналогичные услуги. По мнению суда, стоимость досудебного исследования обычно ниже, чем стоимость судебной экспертизы, что обусловлено повышенными требованиями к порядку проведения экспертизы, составлению и содержанию заключения (ст. - 86 ГПК РФ ) и ответственностью эксперта (ст. 307 УК РФ ). В связи с чем, расходы истца на досудебное исследование суд находит неоправданно завышенными, а потому, исходя из сложившихся в &lt;адрес&gt; средних цен на подобного рода услуги, определяет разумные пределы расходов по оплате досудебной экспертизы в 30 000,00 рублей. По правилам ч. 1 ст. ГПК Российской Федерации издержки, понесенные судом в связи с рассмотрением дела, и государственная пошлина, от уплаты которых истец был освобожден, взыскиваются с ответчика, не освобожденного от уплаты судебных расходов, в бюджет соответствующего уровня пропорционально удовлетворенной части исковых требований. Таким образом, с ответчика в бюджет муниципального образования - городской округ город Воронеж, в соответствии со ст. 333.19 НК РФ подлежит взысканию государственная пошлина в размере 12 123 руб. 00 коп. (9 123 руб. 00 коп. - за требование имущественного характера и 3 000 рублей 00 коп. – за требование неимущественного характера). Руководствуясь ст. ст. - 198 ГПК РФ , суд решил: Исковые требования ФИО2 к Акционерному обществу «Специализированный застройщик «Домостроительный комбинат» о взыскании денежных средств в счет соразмерного уменьшения цены договора, взыскании неустойки, компенсации морального вреда, штрафа, судебных расходов – удовлетворить. Взыскать с Акционерного общества «Специализированный застройщик «Домостроительный комбинат» (ИНН &lt;***&gt; ОГРН &lt;***&gt;) в пользу ФИО2, ДД.ММ.ГГГГ года рождения, уроженца &lt;адрес&gt; в счет соразмерного уменьшения цены договора денежные средства в размере 270 771 руб. 68 коп., компенсацию морального вреда в размере 3 000 руб. 00 коп., неустойку за период с 24.01.2025г. по 27.08.2025г. в размере 80 000 руб. 00 коп., штраф в размере 80 000 руб. 00 коп., расходы по оплате экспертного заключения в размере 30 000 руб. 00 коп., расходы по оплате услуг представителя в размере 18 000 руб. 00 коп., а всего 481 771 (четыреста восемьдесят одна тысяча семьсот семьдесят один) рубль 68 коп. Взыскивать с Акционерного общества «Специализированный застройщик «Домостроительный комбинат» (ИНН &lt;***&gt; ОГРН &lt;***&gt;) в пользу ФИО2, ДД.ММ.ГГГГ года рождения, уроженца &lt;адрес&gt; неустойку в размере 1% в день от суммы 270 771 (двести семьдесят тысяч семьсот семьдесят один) рубль 68 коп., начиная с 28.08.2025г. по день фактического исполнения решения суда. Взыскать с Акционерного общества «Специализированный застройщик «Домостроительный комбинат» (ИНН &lt;***&gt; ОГРН &lt;***&gt;) государственную пошлину в доход муниципального образования городской округ город Воронеж в размере 12 123 (двенадцати тысяч ста двадцати трех) руб. 00 коп. Решение может быть обжаловано в апелляционном порядке в Воронежский областной суд через Советский районный суд г. Воронежа в течение месяца со дня принятия решения в окончательной форме. Судья: В.В. Зеленина Решение в окончательной форме принято 05.09.2025 года Суд: Советский районный суд г. Воронежа (Воронежская область) (подробнее) Ответчики: АО "Специализированный застройщик "ДСК" (подробнее) Судьи дела: Зеленина Валентина Васильевна (судья) (подробнее) Судебная практика по: По договору купли продажи, договор купли продажи недвижимости Судебная практика по применению нормы ст. 454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