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ФИО1, обвиняемого в совершении преступления, предусмотренного ч. 1 ст. 264 УК РФ , по ст. 25 УПК РФ , в связи с примирением с потерпевшим.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доказательство: - автомобиль Тойота Harrier с регистрационным знаком № ..... регион, хранящийся у ФИО1, оставить последнему. Настоящее постановление может быть обжаловано в Воронежский областной суд в течение 15 суток со дня его вынесения. Судья: В.А. Александров Суд: Железнодорожный районный суд г. Воронежа (Воронежская область) (подробнее) Судьи дела: Александров Валерий Андреевич (судья) (подробнее) Последние документы по делу: Постановление от 22 сентября 2025 г. по делу № 1-281/2025 Постановление от 13 марта 2025 г. по делу № 1-281/2025 Приговор от 9 марта 2025 г. по делу № 1-281/2025 Показать все документы по этому делу Судебная практика по: Нарушение правил дорожного движения Судебная практика по применению норм ст. 264, 264.1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