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48 НК РФ , 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 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В данном случае срок обращения в суд с настоящими требованиями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ФИО2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Из изложенного следует, что поскольку нормы законодательства о налогах и сборах не предполагают возможность взыскания пени на сумму тех налогов, право на взыскание которых, налоговым органом утрачено, ее начисление (неначисление) правового значения не имеет. На основании изложенного, руководствуясь ст. 59 НК РФ , ст.ст. – 180 КАС РФ , суд Р Е Ш И Л: В удовлетворении исковых требований межрайонной ИФНС России №15 по Московской области к административному ответчику ФИО13 о взыскании транспортного налога в размере 6 919 руб. за 2016 год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14.11.2025г.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 Последние документы по делу: Решение от 13 ноября 2025 г. по делу № 2А-6452/2025 Решение от 5 марта 2025 г. по делу № 2А-6452/2025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