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В данном случае срок обращения в суд с требованиями о взыскании налога на имущество физических лиц за 2020г., 2021г.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Вместе с тем, требование о взыскании налога на имущество физических лиц в размере 36 руб. за 2022 год подлежит удовлетворению, поскольку срок на обращение в суд по их взысканию не пропущен, доказательств его оплаты суду не представлено. В связи с чем, суд взыскивает с ФИО14 Налога на имущество физических лиц за 2022 год в размере 36 руб., пени за его неуплату за период с 02.12.2023г. по 28.05.20245. – 11 руб. 98 коп. На основании изложенного, руководствуясь ст.ст. – 180 КАС РФ , суд Р Е Ш И Л: Административный иск МИФНС № 15 по Московской области – удовлетворить частично. Взыскать с ФИО15 в пользу межрайонной ИФНС России №15 по Московской области недоимку по налогу на имущество физических лиц за 2022 год в размере 36 руб., пени за его неуплату за период с 02.12.2023г. по 28.05.20245. – 11 руб. 98 коп. В удовлетворении исковых требований межрайонной ИФНС России №15 по Московской области к административному ответчику ФИО16 о взыскании налога на имущество физических лиц за 2020г. в размере 36 руб., за 2021г. в размере 36 руб., а также пени в размере 10 237 руб. 61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24.11.2025г.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