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земельного налога за 2018г. в размере 3 320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Вместе с тем, требование о взыскании транспортного налога за 2023г. в размере 2 909 руб.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ФИО18 Транспортный налог в размере 2 909 руб. 2023г., пени за его неуплату за период с 03.12.2024г. по 19.05.2025г. – 464 руб. 28 коп. На основании изложенного, руководствуясь ст.ст. – 180 КАС РФ , суд Р Е Ш И Л: Административный иск межрайонной ИФНС России №15 по Московской области к административному ответчику ФИО20 о взыскании налогов и сборов – удовлетворить частично. Взыскать со ФИО19 в пользу межрайонной ИФНС России №15 по Московской области недоимку по транспортному налогу с физических лиц в размере 2 909 руб. 2023г., пени за его неуплату за период с 03.12.2024г. по 19.05.2025г. – 464 руб. 28 коп. В удовлетворении исковых требований межрайонной ИФНС России №15 по Московской области к административному ответчику ФИО21 о взыскании земельного налога за 2018г. в размере 3 320 руб.; пени в размере 8 401 руб. 96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