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В данном случае срок обращения в суд с требованиями о взыскании транспортного налога за 2018 год в размере 3 434 руб.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Вместе с тем, требование о взыскании транспортного налога за 2023г. в размере 3 434 руб. подлежит удовлетворению, поскольку срок на обращение в суд по их взысканию не пропущен, доказательств его оплаты суду не представлено. В связи с чем, суд взыскивает с ФИО17 Транспортный налог с физических лиц за 2023 год в размере 3 434 руб., пени за его неуплату за период с 03.12.2024г. по 28.05.2025г. – 569 руб. 70 коп. На основании изложенного, руководствуясь ст.ст. – 180 КАС РФ , суд Р Е Ш И Л: Взыскать с ФИО18 в пользу межрайонной ИФНС России №15 по Московской области недоимку по транспортному налогу с физических лиц за 2023 год в размере 3 434 руб., пени за его неуплату за период с 03.12.2024г. по 28.05.2025г. – 569 руб. 70 коп. В удовлетворении исковых требований межрайонной ИФНС России №15 по Московской области к административному ответчику ФИО19 о взыскании транспортного налога за 2018 год в размере 3 434 руб.; пени в размере 5 890 руб. 05 коп.–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28.11.2025г.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