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В данном случае срок обращения в суд с требованиями о взыскании транспортного налога за 2019 г. в размере 966 руб., за 2020 г. в размере 966 руб., за 2021 г. в размере 966 руб.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Вместе с тем, требование о взыскании транспортного налога за 2022г. в размере 966 руб., за 2023г. в размере 966 руб. подлежит удовлетворению, поскольку срок на обращение в суд по их взысканию не пропущен, доказательств его оплаты суду не представлено. В связи с чем, суд взыскивает с ФИО15 Транспортный налог в размере 966 руб. 2022г., пени за его неуплату за период с 02.12.2023г. по 28.05.2025г. – 320 руб. 78 коп. Транспортный налог в размере 966 руб. 2023г., пени за его неуплату за период с 03.12.2024г. по 28.05.2025г. – 160 руб. 26 коп. На основании изложенного, руководствуясь ст.ст. – 180 КАС РФ , суд Р Е Ш И Л: Взыскать с ФИО16 в пользу межрайонной ИФНС России №15 по Московской области недоимку по транспортному налогу в размере 966 руб. 2022г., пени за его неуплату за период с 02.12.2023г. по 28.05.2025г. – 320 руб. 78 коп.; транспортному налогу в размере 966 руб. 2023г., пени за его неуплату за период с 03.12.2024г. по 28.05.2025г. – 160 руб. 26 коп. В удовлетворении исковых требований межрайонной ИФНС России №15 по Московской области к административному ответчику ФИО17 о взыскании транспортного налога за 2019г. в размере 966 руб., за 2020г. в размере 966 руб., за 2021г. в размере 966 руб.; пени в размере 5 035 руб. 38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28.11.2025г.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