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В данном случае срок обращения в суд с требованиями о взыскании транспортного налога за 201482021г.г.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Вместе с тем, требование о взыскании транспортного налога в размере 6 295 руб. за 2022 год подлежит удовлетворению, поскольку срок на обращение в суд по их взысканию не пропущен, доказательств его оплаты суду не представлено. Разрешая заявленные требования о взыскании пени, суд учитывая что административным истцом не представлен расчет пени с указанием вида налога, размера недоимки по каждому налогу, а также периода, на который начислялись пени, в связи с чем, в силу п. 1 ч. 1 ст. 196 КАС РФ суд оставляет данное требование без рассмотрения. На основании изложенного, руководствуясь ст.ст. – 180 КАС РФ , суд Р Е Ш И Л: Административный иск МИФНС № 15 по Московской области – удовлетворить частично. Взыскать с ФИО14 в пользу межрайонной ИФНС России №15 по Московской области недоимку по транспортному налогу за 2022 год в размере 6 295 руб. В удовлетворении исковых требований межрайонной ИФНС России №15 по Московской области к административному ответчику ФИО15 о взыскании транспортного налога за 2014-2021 в размере 31 140 руб. – отказать, признать задолженность безнадежной ко взысканию. Административные исковые требования межрайонной ИФНС России №15 по Московской области к административному ответчику ФИО16 о взыскании суммы пеней, установленных Налоговым кодексом Российской Федерации, распределяемые в соответствии с подпунктом 1 пункта 11 статьи Бюджетного кодекса Российской Федерации в размере 53 242,68 руб. – оставить без рассмотрения.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19.12.2025г.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