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2016-2021 годы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транспортного налога с физических лиц в размере 741 руб. за 2022 год; налога на имущество физических лиц в размере 1 672 руб. за 2022 год; земельного налога в размере 867 руб. за 2022 год подлежит удовлетворению, поскольку срок на обращение в суд по его взысканию не пропущен, доказательств его оплаты суду не представлено. В связи с чем, суд взыскивает с ФИО18 недоимку по транспортному налогу с физических лиц в размере 741 руб. за 2022 год; по налогу на имущество физических лиц в размере 1 672 руб. за 2022 год; по земельному налогу в размере 867 руб. за 2022 год; пени за их неуплату за период с 02.12.2023 г. по 10.04.2024 г. в размере 218 руб. 68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ФИО19 в пользу МИФНС № 15 по Московской области недоимку по транспортному налогу с физических лиц в размере 741 руб. за 2022 год; по налогу на имущество физических лиц в размере 1 672 руб. за 2022 год; по земельному налогу в размере 867 руб. за 2022 год; пени за период с 02.12.2023 г. по 10.04.2024 г. в размере 218 руб. 68 коп. В удовлетворении исковых требований МИФНС России № 15 по Московской области о взыскании транспортного налога с физических лиц в размере 4 662 руб. за 2016-2022 годы, налога на имущество физически лиц в размере 4 388 руб. за 2017-2022 годы, земельного налога в размере 3 797 руб. за 2018-2022 годы; пени в размере 4 055 руб. 15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22.12.2025г.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21 декабря 2025 г. по делу № 2А-6652/2025 Решение от 1 октября 2025 г. по делу № 2А-6652/2025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