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договорились об изменении долей в праве собственности на спорное домовладение следующим образом: Доля ФИО4 остается без изменения в размере 287/1000 доли. Доля ФИО2 остается без изменения в размере 129/4000 доли. Доля ФИО3 Зои ФИО3 остается без изменения в размере 49/1000 доли. ФИО5, являющаяся наследником ФИО7, в связи с незначительностью принадлежащей ей доли, не возможностью реального выдела и отсутствия существенного интереса в использовании общего имущества соглашается на выплату компенсации от ФИО1 в размере 50 000 рублей и утрачивает право собственности на 43/4000 доли спорного домовладения расположенного по адресу: &lt;адрес&gt;, пер. Дунаевского, 23. ФИО1 приобретает право собственности на долю 43/4000 и ее доля увеличивается до 2527/4000 доли данного домовладения, расположенного по адресу: &lt;адрес&gt;, пер. Дунаевского, 23. Условия мирового соглашения отражены в заявлении, приобщенном к материалам дела на основании ст. 173 ГПК РФ , и подписаны истцом и ответчиками, с другой стороны. Сторонам разъяснены и понятны последствия утверждения мирового соглашения и прекращения производства по делу, предусмотренные ст. 221 ГПК РФ , что также отражено в заявлении об утверждении мирового соглашения и протоколе судебного заседания. В соответствии с абз. 5 ст. 220 ГПК РФ суд прекращает производство по делу в случае, если стороны заключили мировое соглашение и оно утверждено судом. В данном случае мировое соглашение, заключенное сторонами, не противоречит закону и не нарушает права и законные интересы других лиц, у суда отсутствуют основания для отказа в его утверждении. Руководствуясь ст. ст. , , , , ,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