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адвоката Аверина А.В. удовлетворить. Приговор Собинского городского суда Владимирской области от 28 марта 2016 года и апелляционное определение судебной коллегии по уголовным делам Владимирского областного суда от 19 мая 2016 года в отношении Г. отменить, уголовное дело в отношении нее прекратить на основании п. 2 ч.1 ст. 24 УК РФ – за отсутствием в деянии состава преступления. В соответствии с ч.1 ст. 134 УПК РФ признать за Г. право на реабилитацию.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Тот же приговор в отношении ФИО3 изменить. Исключить из осуждения ФИО3 по ч.3 ст. 160 УК РФ указание на совершение им преступления группой лиц по предварительному сговору. Снизить ФИО3 осужденному по ч.3 ст. 160 УК РФ за растрату, то есть хищение чужого имущества, вверенного виновному, с использованием своего служебного положения, наказание, назначенное с применением ст. 64 УК РФ , определив его в виде штрафа в размере 9 500 (девяти тысяч пятисот) рублей. В остальном приговор в отношении него оставить без изменения. Председательствующий А.В.Малышкин Суд: Владимирский областной суд (Владимирская область) (подробнее) Судьи дела: Левичева В.В. (судья) (подробнее) Судебная практика по: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