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в срок до ДД.ММ.ГГГГ предаёт ФИО6 денежные средства в размере &lt;данные изъяты&gt;, согласно следующему графику платежей на карту ПАО «Сбербанк» №: - до ДД.ММ.ГГГГ - &lt;данные изъяты&gt;; - до ДД.ММ.ГГГГ - &lt;данные изъяты&gt;; - до ДД.ММ.ГГГГ - &lt;данные изъяты&gt;.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неисполнения условий мирового соглашения в срок до ДД.ММ.ГГГГ, с ответчицы подлежит взысканию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расходы, понесенные сторонами по делу, возложить на сторону их понесшую.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обеспечительные меры, направленные на отчуждение спорного имущества: автомобиля «КАМАЗ» 2011 года выпуска, г/н №. Стороны просят мировое соглашение утвердить, производство по делу прекратить. Выслушав стороны, исследовав материалы дела, суд считает возможным утвердить настоящее мировое соглашение, поскольку это не противоречит закону и не нарушает права и интересы других лиц. Последствия прекращения производства по делу в связи с утверждением мирового соглашения, предусмотренные ст.ст. , . , 221 ГПК РФ сторонам разъяснены и понятны. Руководствуясь: ст.ст. , , , 221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