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2018 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с физических лиц в размере 870 руб. за 2023 год подлежит удовлетворению, поскольку срок на обращение в суд по его взысканию не пропущен, доказательств его оплаты суду не представлено. В связи с чем, суд взыскивает с ФИО14 недоимку по транспортному налогу с физических лиц в размере 870 руб. за 2023 год; пени за их неуплату за период с 03.12.2024г. по 11.06.2025г. – 116 руб. 23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ФИО15 в пользу МИФНС № 15 по Московской области недоимку по транспортному налогу с физических лиц в размере 870 руб. за 2023 год, пени за период с 03.12.2024 г. по 11.06.2025 г. в размере 116 руб. 23 коп. В удовлетворении исковых требований МИФНС России № 15 по Московской области о взыскании транспортного налога за 2018 год в размере 2 235 руб., пени в размере 7 143 руб. 42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22.12.2025г.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21 декабря 2025 г. по делу № 2А-5975/2025 Решение от 20 августа 2025 г. по делу № 2А-5975/2025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