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48 НК РФ , 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В данном случае срок обращения в суд с настоящими требованиями пропущен, доказательств наличия уважительных причин его пропуска суду не предоставлено, что является основанием для отказа в требованиях о взыскании задолженности по налогам, а также пени, начисленных на них.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ФИО1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Согласно п. 4 ч. 1 ст. 59 НК РФ ,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случае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 Из изложенного следует, что поскольку нормы законодательства о налогах и сборах не предполагают возможность взыскания пени на сумму тех налогов, право на взыскание которых, налоговым органом утрачено, ее начисление (неначисление) правового значения не имеет. На основании изложенного, руководствуясь ст. 59 НК РФ , ст.ст. – 180 КАС РФ , суд Р Е Ш И Л: В удовлетворении административного искового заявления МИНФС России №15 по Московской области к ФИО15 о взыскании задолженности по налогу на имущество физических лиц, взимаемый по ставкам, применяемым к объектам налогообложения, расположенным в границах муниципальных округов за 2018 год в размере 6699 руб.; суммы пеней в размере 4291 руб. 52 коп. – отказать, признать задолженность безнадежной ко взысканию.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16.12.2025г.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