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В данном случае срок обращения в суд с требованиями о взыскании налогов за 2014-2021 г.г.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Разрешая заявленные требования о взыскании пени, суд приходит к выводу об отсутствии оснований для их удовлетворения, поскольку сведения о том, что задолженность по платежам погашена либо возможность ее взыскания не утрачена, в материалах дела отсутствуют. Кроме того, истцом не представлен расчет пени с указанием вида налога, размера пени по каждому из налогов, равно как и не указан период, на которые начислены пени. При этом, требование о взыскании транспортного налога за 2022 г. в размере 750 руб, за 2023 год в размере 750 руб. подлежит удовлетворению, поскольку истцом не пропущен срок на обращение в суд, а ответчиком не представлено доказательств его уплаты. На основании изложенного, руководствуясь ст.ст. – 180 КАС РФ , суд Р Е Ш И Л: В удовлетворении исковых требований межрайонной ИФНС России №15 по Московской области к административному ответчику ФИО21 о взыскании транспортного налога за 2014- 2021 г.г., пени в размере 4 284 руб. 12 коп. - отказать и признать задолженность безнадежной ко взысканию. Взыскать с ФИО20 в пользу межрайонной ИФНС России №15 по Московской области недоимку по транспортному налогу за 2022 г. в размере 750 руб., пени за период с 02.12.2023 г. по 09.05.2025 г. в размере 23 руб. 95 коп., транспортному налогу за 2023 г. в размере 750 руб., пени за период с 03.12.2024 г. по 09.05.2025 г. в размере 08 руб. 29 коп.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11.12.2025 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