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ФИО2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исковых требований межрайонной ИФНС России №15 по Московской области к административному ответчику ФИО18 о взыскании транспортного налога с физических лиц в размере 28 683 руб. за 2018 год; налога на имущество физических лиц, взимаемый по ставкам, применяемым объектам налогообложения, расположенным в границах муниципальных округ в размере 129 руб. за 2018 год; земельного налога с физических лиц, обладающих земельным участком, расположенным в границах муниципальных округов в размере 3 340 руб. за 2018 год; пени в размере 391 руб. 98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05.12.2025г.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