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прокурора &lt;адрес&gt; Чеченской Республики в порядке ст. 45 ГПК РФ 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МБДОУ «Детский сад № «Табарик» &lt;адрес&gt; муниципального района, ЧР устранить допущенные нарушения закона, а именно вывесить в моечном отделении Учреждения инструкцию о правилах мытья посуды и инвентаря с указанием концентрации и объемов, применяемых моющих и дезинфицирующих средств; завести журнал учета контроля температурного режима в холодильном оборудовании. Обеспечить осуществление ежедневного контроля соблюдения температурного режима в холодильном оборудовании результаты такого контроля занести в указанный журнал. Решение может быть обжаловано в Верховный Суд Чеченской Республики в аппеляционном порядке в течение месяца со дня провозглашения через Гудермесский городской суд. Председательствующий: подпись. Копия верна. Судья Гудермесского городского суда, ЧР А.И. Ибрагимов Суд: Гудермесский городской суд (Чеченская Республика) (подробнее) Истцы: Прокурор Гудермесского района ЧР (подробнее) Судьи дела: Ибрагимов А.И. (судья) (подробнее) Последние документы по делу: Решение от 28 декабря 2017 г. по делу № 2-1142/2017 Решение от 21 июня 2017 г. по делу № 2-1142/2017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