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прокурора &lt;адрес&gt; Чеченской Республики в порядке ст. 45 ГПК РФ 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МБДОУ «Детский сад № «Зезаг» &lt;адрес&gt; муниципального района, ЧР устранить допущенные нарушения закона, а именно вывесить в моечном отделении Учреждения инструкцию о правилах мытья посуды и инвентаря с указанием концентрации и объемов, применяемых моющих и дезинфицирующих средств; завести журнал учета контроля температурного режима в холодильном оборудовании. Обеспечить осуществление ежедневного контроля соблюдения температурного режима в холодильном оборудовании результаты такого контроля занести в указанный журнал. Решение может быть обжаловано в Верховный Суд Чеченской Республики в аппеляционном порядке в течение месяца со дня провозглашения через Гудермесский городской суд. Председательствующий: подпись. Копия верна. Судья Гудермесского городского суда, ЧР А.И. Ибрагимов Суд: Гудермесский городской суд (Чеченская Республика) (подробнее) Истцы: Прокурор Гудермесского района ЧР (подробнее) Судьи дела: Ибрагимов А.И. (судья) (подробнее) Последние документы по делу: Решение от 27 декабря 2017 г. по делу № 2-1136/2017 Решение от 21 июня 2017 г. по делу № 2-1136/2017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