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прокурора &lt;адрес&gt; Чеченской Республики в порядке ст. 45 ГПК РФ 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МБДОУ «Детский сад № «Беркат» &lt;адрес&gt; муниципального района, ЧР устранить допущенные нарушения закона, а именно вывесить в моечном отделении Учреждения инструкцию о правилах мытья посуды и инвентаря с указанием концентрации и объемов, применяемых моющих и дезинфицирующих средств; завести журнал учета контроля температурного режима в холодильном оборудовании. Обеспечить осуществление ежедневного контроля соблюдения температурного режима в холодильном оборудовании результаты такого контроля занести в указанный журнал. Решение может быть обжаловано в Верховный Суд Чеченской Республики в аппеляционном порядке в течение месяца со дня провозглашения через Гудермесский городской суд. Председательствующий: подпись. Копия верна. Судья Гудермесского городского суда, ЧР А.И. Ибрагимов Суд: Гудермесский городской суд (Чеченская Республика) (подробнее) Истцы: Прокурор Гудермесского района ЧР (подробнее) Судьи дела: Ибрагимов А.И. (судья) (подробнее) Последние документы по делу: Решение от 21 июня 2017 г. по делу № 2-1137/2017 Решение от 16 мая 2017 г. по делу № 2-1137/2017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