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незаконным бездействие МО «Малгобекский муниципальный район», выразившееся в неисполнении требований прокурора по устранению выявленных нарушений, в части не оформления разграничений обязательств путем составления передаточного (разделительного) акта по имущественным обязательствам администрации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Ликвидационную комиссию администраций районов, городов и населенных пунктов РИ составить передаточный акт по имущественным обязательствам администрации &lt;адрес&gt; переданным в силу правопреемства вновь образованному муниципальному образованию «Малгобекский муниципальный район».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администрацию МО «Малгобекский муниципальный район» принять имущество упраздненной администрации &lt;адрес&gt; по передаточному акту. Решение может быть обжаловано сторонами в Верховный Суд Республики Ингушетия в апелляционном порядке в течение месяца. Председательствующая: подпись Копия верна: Судья Л.К. Цечоева Суд: Малгобекский городской суд (Республика Ингушетия) (подробнее) Истцы: Малгобекский городской прокурор (подробнее) Ответчики: МО "Малгобекский муниципальный район" (подробнее) Судьи дела: Цечоева Л.К.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