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незаконным бездействие МО «&lt;адрес&gt;», выразившееся в неисполнении требований прокурора по устранению выявленных нарушений, в части не оформления разграничений обязательств путем составления передаточного (разделительного) акта по имущественным обязательствам администрации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Ликвидационную комиссию администраций районов, городов и населенных пунктов РИ составить передаточный акт по имущественным обязательствам администрации &lt;адрес&gt; переданным в силу правопреемства вновь образованному муниципальному образованию «&lt;адрес&gt;».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администрацию МО «&lt;адрес&gt;» принять имущество упраздненной администрации &lt;адрес&gt; по передаточному акту. Решение может быть обжаловано сторонами в Верховный Суд Республики Ингушетия в апелляционном порядке в течение месяца. Председательствующая: подпись Копия верна: Судья Л.К. Цечоева Суд: Малгобекский городской суд (Республика Ингушетия) (подробнее) Истцы: Малгобекский городской прокурор (подробнее) Ответчики: МО " Городской округ г. Малгобек" (подробнее) Судьи дела: Цечоева Л.К. (судья) (подробнее) Последние документы по делу: Решение от 21 августа 2017 г. по делу № 2-397/2017 Решение от 29 июня 2017 г. по делу № 2-397/2017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